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C8CF2" w14:textId="0D24A04C" w:rsidR="0070522A" w:rsidRPr="0070522A" w:rsidRDefault="0070522A" w:rsidP="0070522A">
      <w:pPr>
        <w:pStyle w:val="Corpodetexto"/>
        <w:ind w:left="112"/>
        <w:rPr>
          <w:rFonts w:ascii="Palatino Linotype" w:hAnsi="Palatino Linotype"/>
          <w:color w:val="auto"/>
          <w:sz w:val="24"/>
          <w:szCs w:val="24"/>
        </w:rPr>
      </w:pPr>
    </w:p>
    <w:p w14:paraId="2D480A63" w14:textId="77777777" w:rsidR="0070522A" w:rsidRPr="0070522A" w:rsidRDefault="0070522A" w:rsidP="0070522A">
      <w:pPr>
        <w:pStyle w:val="Corpodetexto"/>
        <w:spacing w:before="10"/>
        <w:ind w:left="112"/>
        <w:rPr>
          <w:rFonts w:ascii="Palatino Linotype" w:hAnsi="Palatino Linotype"/>
          <w:color w:val="auto"/>
          <w:sz w:val="24"/>
          <w:szCs w:val="24"/>
        </w:rPr>
      </w:pPr>
    </w:p>
    <w:p w14:paraId="3FC35613"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p>
    <w:p w14:paraId="43C9F623"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r w:rsidRPr="0070522A">
        <w:rPr>
          <w:rFonts w:ascii="Palatino Linotype" w:hAnsi="Palatino Linotype" w:cs="Arial"/>
          <w:b/>
          <w:bCs/>
          <w:color w:val="auto"/>
          <w:sz w:val="24"/>
          <w:szCs w:val="24"/>
        </w:rPr>
        <w:t>LEI DE DIRETRIZES ORÇAMENTÁRIAS 2023</w:t>
      </w:r>
    </w:p>
    <w:p w14:paraId="35F47162"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p>
    <w:p w14:paraId="7DAEA02E"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r w:rsidRPr="0070522A">
        <w:rPr>
          <w:rFonts w:ascii="Palatino Linotype" w:hAnsi="Palatino Linotype" w:cs="Arial"/>
          <w:b/>
          <w:bCs/>
          <w:color w:val="auto"/>
          <w:sz w:val="24"/>
          <w:szCs w:val="24"/>
        </w:rPr>
        <w:t>ANEXO II</w:t>
      </w:r>
    </w:p>
    <w:p w14:paraId="2F43EDE9"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p>
    <w:p w14:paraId="5C0ADE62"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r w:rsidRPr="0070522A">
        <w:rPr>
          <w:rFonts w:ascii="Palatino Linotype" w:hAnsi="Palatino Linotype" w:cs="Arial"/>
          <w:b/>
          <w:bCs/>
          <w:color w:val="auto"/>
          <w:sz w:val="24"/>
          <w:szCs w:val="24"/>
        </w:rPr>
        <w:t>METAS FISCAIS</w:t>
      </w:r>
    </w:p>
    <w:p w14:paraId="28022E2B" w14:textId="77777777" w:rsidR="0070522A" w:rsidRPr="0070522A" w:rsidRDefault="0070522A" w:rsidP="0070522A">
      <w:pPr>
        <w:pStyle w:val="Ttulo1"/>
        <w:spacing w:before="97"/>
        <w:ind w:left="112"/>
        <w:rPr>
          <w:rFonts w:ascii="Palatino Linotype" w:hAnsi="Palatino Linotype" w:cs="Arial"/>
          <w:color w:val="auto"/>
          <w:sz w:val="24"/>
          <w:szCs w:val="24"/>
        </w:rPr>
      </w:pPr>
    </w:p>
    <w:p w14:paraId="76B1F5EB" w14:textId="77777777" w:rsidR="0070522A" w:rsidRPr="0070522A" w:rsidRDefault="0070522A" w:rsidP="0070522A">
      <w:pPr>
        <w:spacing w:before="1"/>
        <w:ind w:left="112"/>
        <w:jc w:val="center"/>
        <w:rPr>
          <w:rFonts w:ascii="Palatino Linotype" w:hAnsi="Palatino Linotype" w:cs="Arial"/>
          <w:b/>
        </w:rPr>
      </w:pPr>
      <w:r w:rsidRPr="0070522A">
        <w:rPr>
          <w:rFonts w:ascii="Palatino Linotype" w:hAnsi="Palatino Linotype" w:cs="Arial"/>
          <w:b/>
        </w:rPr>
        <w:t>MEMÓRIA E METODOLOGIA DE CÁLCULO DAS METAS ANUAIS</w:t>
      </w:r>
    </w:p>
    <w:p w14:paraId="24343175" w14:textId="77777777" w:rsidR="0070522A" w:rsidRPr="0070522A" w:rsidRDefault="0070522A" w:rsidP="0070522A">
      <w:pPr>
        <w:pStyle w:val="Corpodetexto"/>
        <w:spacing w:before="7"/>
        <w:ind w:left="112"/>
        <w:rPr>
          <w:rFonts w:ascii="Palatino Linotype" w:hAnsi="Palatino Linotype"/>
          <w:b/>
          <w:color w:val="auto"/>
          <w:sz w:val="24"/>
          <w:szCs w:val="24"/>
        </w:rPr>
      </w:pPr>
    </w:p>
    <w:p w14:paraId="015A1D5D" w14:textId="77777777" w:rsidR="0070522A" w:rsidRPr="0070522A" w:rsidRDefault="0070522A" w:rsidP="0070522A">
      <w:pPr>
        <w:pStyle w:val="Corpodetexto"/>
        <w:spacing w:before="90"/>
        <w:ind w:left="112" w:firstLine="608"/>
        <w:rPr>
          <w:rFonts w:ascii="Palatino Linotype" w:hAnsi="Palatino Linotype"/>
          <w:color w:val="auto"/>
          <w:sz w:val="24"/>
          <w:szCs w:val="24"/>
        </w:rPr>
      </w:pPr>
      <w:r w:rsidRPr="0070522A">
        <w:rPr>
          <w:rFonts w:ascii="Palatino Linotype" w:hAnsi="Palatino Linotype"/>
          <w:color w:val="auto"/>
          <w:sz w:val="24"/>
          <w:szCs w:val="24"/>
        </w:rPr>
        <w:t>Em atendimento ao que determina o § 2º, inciso II do artigo 4º da Lei Complementar nº 101 de 04 de maio de 2000 – Lei de Responsabilidade Fiscal fica apresentada a memória e metodologia de cálculo para obtenção dos valores dos anexos</w:t>
      </w:r>
      <w:r w:rsidRPr="0070522A">
        <w:rPr>
          <w:rFonts w:ascii="Palatino Linotype" w:hAnsi="Palatino Linotype"/>
          <w:color w:val="auto"/>
          <w:spacing w:val="-2"/>
          <w:sz w:val="24"/>
          <w:szCs w:val="24"/>
        </w:rPr>
        <w:t xml:space="preserve"> </w:t>
      </w:r>
      <w:r w:rsidRPr="0070522A">
        <w:rPr>
          <w:rFonts w:ascii="Palatino Linotype" w:hAnsi="Palatino Linotype"/>
          <w:color w:val="auto"/>
          <w:sz w:val="24"/>
          <w:szCs w:val="24"/>
        </w:rPr>
        <w:t>fiscais.</w:t>
      </w:r>
    </w:p>
    <w:p w14:paraId="792533AD" w14:textId="77777777" w:rsidR="0070522A" w:rsidRPr="0070522A" w:rsidRDefault="0070522A" w:rsidP="0070522A">
      <w:pPr>
        <w:pStyle w:val="Corpodetexto"/>
        <w:spacing w:before="90"/>
        <w:ind w:left="112"/>
        <w:rPr>
          <w:rFonts w:ascii="Palatino Linotype" w:hAnsi="Palatino Linotype"/>
          <w:color w:val="auto"/>
          <w:sz w:val="24"/>
          <w:szCs w:val="24"/>
        </w:rPr>
      </w:pPr>
    </w:p>
    <w:p w14:paraId="233C6B36" w14:textId="4A3D6496" w:rsid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No preenchimento dos quadros fiscais foram adotados os seguintes parâmetros e projeções das políticas monetárias bem como as metas de inflação:</w:t>
      </w:r>
    </w:p>
    <w:p w14:paraId="3048AE67" w14:textId="77777777" w:rsidR="00EF74D5" w:rsidRPr="0070522A" w:rsidRDefault="00EF74D5" w:rsidP="0070522A">
      <w:pPr>
        <w:pStyle w:val="Corpodetexto"/>
        <w:ind w:left="112" w:firstLine="608"/>
        <w:rPr>
          <w:rFonts w:ascii="Palatino Linotype" w:hAnsi="Palatino Linotype"/>
          <w:color w:val="auto"/>
          <w:sz w:val="24"/>
          <w:szCs w:val="24"/>
        </w:rPr>
      </w:pPr>
    </w:p>
    <w:p w14:paraId="5FE9C344" w14:textId="27B9BCA2" w:rsidR="0070522A" w:rsidRPr="0070522A" w:rsidRDefault="00EF74D5" w:rsidP="00EF74D5">
      <w:pPr>
        <w:pStyle w:val="Corpodetexto"/>
        <w:spacing w:before="2"/>
        <w:ind w:left="112" w:hanging="538"/>
        <w:rPr>
          <w:rFonts w:ascii="Palatino Linotype" w:hAnsi="Palatino Linotype"/>
          <w:color w:val="auto"/>
          <w:sz w:val="24"/>
          <w:szCs w:val="24"/>
        </w:rPr>
      </w:pPr>
      <w:r w:rsidRPr="00EF74D5">
        <w:drawing>
          <wp:inline distT="0" distB="0" distL="0" distR="0" wp14:anchorId="1476D878" wp14:editId="62EF35B8">
            <wp:extent cx="6164718" cy="1304925"/>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7761" cy="1305569"/>
                    </a:xfrm>
                    <a:prstGeom prst="rect">
                      <a:avLst/>
                    </a:prstGeom>
                    <a:noFill/>
                    <a:ln>
                      <a:noFill/>
                    </a:ln>
                  </pic:spPr>
                </pic:pic>
              </a:graphicData>
            </a:graphic>
          </wp:inline>
        </w:drawing>
      </w:r>
    </w:p>
    <w:p w14:paraId="25F500F0" w14:textId="5534A3A2" w:rsidR="0070522A" w:rsidRPr="0070522A" w:rsidRDefault="0070522A" w:rsidP="0070522A">
      <w:pPr>
        <w:pStyle w:val="Corpodetexto"/>
        <w:spacing w:before="1"/>
        <w:ind w:left="112" w:hanging="254"/>
        <w:jc w:val="center"/>
        <w:rPr>
          <w:rFonts w:ascii="Palatino Linotype" w:hAnsi="Palatino Linotype"/>
          <w:color w:val="auto"/>
          <w:sz w:val="24"/>
          <w:szCs w:val="24"/>
        </w:rPr>
      </w:pPr>
    </w:p>
    <w:p w14:paraId="4331CCFB" w14:textId="77777777" w:rsidR="0070522A" w:rsidRPr="0070522A" w:rsidRDefault="0070522A" w:rsidP="0070522A">
      <w:pPr>
        <w:pStyle w:val="Corpodetexto"/>
        <w:spacing w:before="90"/>
        <w:ind w:left="112" w:firstLine="608"/>
        <w:rPr>
          <w:rFonts w:ascii="Palatino Linotype" w:hAnsi="Palatino Linotype"/>
          <w:color w:val="auto"/>
          <w:sz w:val="24"/>
          <w:szCs w:val="24"/>
        </w:rPr>
      </w:pPr>
      <w:r w:rsidRPr="0070522A">
        <w:rPr>
          <w:rFonts w:ascii="Palatino Linotype" w:hAnsi="Palatino Linotype"/>
          <w:color w:val="auto"/>
          <w:sz w:val="24"/>
          <w:szCs w:val="24"/>
        </w:rPr>
        <w:t>A classificação orçamentária por natureza da receita é estabelecida pelo § 4º do art. 11 da Lei nº 4.320/1964 e regulamentado pela Portaria Interministerial STN/SOF nº 163, de 04 de maio de 2001, sendo obrigatória para todos os entes da</w:t>
      </w:r>
      <w:r w:rsidRPr="0070522A">
        <w:rPr>
          <w:rFonts w:ascii="Palatino Linotype" w:hAnsi="Palatino Linotype"/>
          <w:color w:val="auto"/>
          <w:spacing w:val="-8"/>
          <w:sz w:val="24"/>
          <w:szCs w:val="24"/>
        </w:rPr>
        <w:t xml:space="preserve"> </w:t>
      </w:r>
      <w:r w:rsidRPr="0070522A">
        <w:rPr>
          <w:rFonts w:ascii="Palatino Linotype" w:hAnsi="Palatino Linotype"/>
          <w:color w:val="auto"/>
          <w:sz w:val="24"/>
          <w:szCs w:val="24"/>
        </w:rPr>
        <w:t>Federação.</w:t>
      </w:r>
    </w:p>
    <w:p w14:paraId="68919232" w14:textId="77777777" w:rsidR="0070522A" w:rsidRPr="0070522A" w:rsidRDefault="0070522A" w:rsidP="0070522A">
      <w:pPr>
        <w:pStyle w:val="Corpodetexto"/>
        <w:spacing w:before="90"/>
        <w:ind w:left="112"/>
        <w:rPr>
          <w:rFonts w:ascii="Palatino Linotype" w:hAnsi="Palatino Linotype"/>
          <w:color w:val="auto"/>
          <w:sz w:val="24"/>
          <w:szCs w:val="24"/>
        </w:rPr>
      </w:pPr>
    </w:p>
    <w:p w14:paraId="33A28046"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No tocante às receitas de Impostos, Taxas e Contribuições de Melhorias, a constante otimização das políticas de fiscalização e cobranças tributárias busca minimizar os efeitos da instabilidade na economia brasileira.</w:t>
      </w:r>
    </w:p>
    <w:p w14:paraId="7C1FDDC9" w14:textId="77777777" w:rsidR="0070522A" w:rsidRPr="0070522A" w:rsidRDefault="0070522A" w:rsidP="0070522A">
      <w:pPr>
        <w:pStyle w:val="Corpodetexto"/>
        <w:ind w:left="112"/>
        <w:rPr>
          <w:rFonts w:ascii="Palatino Linotype" w:hAnsi="Palatino Linotype"/>
          <w:color w:val="auto"/>
          <w:sz w:val="24"/>
          <w:szCs w:val="24"/>
        </w:rPr>
      </w:pPr>
    </w:p>
    <w:p w14:paraId="6D8C587C"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Com relação às Receitas provenientes de Dívida Ativa, as ações propostas pela Procuradoria do Município e pela Secretaria Municipal de Fazenda tendem a resultar num grande incremento nesta receita.</w:t>
      </w:r>
    </w:p>
    <w:p w14:paraId="3C2B7F9D" w14:textId="77777777" w:rsidR="0070522A" w:rsidRPr="0070522A" w:rsidRDefault="0070522A" w:rsidP="0070522A">
      <w:pPr>
        <w:pStyle w:val="Corpodetexto"/>
        <w:ind w:left="112"/>
        <w:rPr>
          <w:rFonts w:ascii="Palatino Linotype" w:hAnsi="Palatino Linotype"/>
          <w:color w:val="auto"/>
          <w:sz w:val="24"/>
          <w:szCs w:val="24"/>
        </w:rPr>
      </w:pPr>
    </w:p>
    <w:p w14:paraId="6BCB7988" w14:textId="77777777" w:rsidR="0070522A" w:rsidRPr="0070522A" w:rsidRDefault="0070522A" w:rsidP="0070522A">
      <w:pPr>
        <w:pStyle w:val="Corpodetexto"/>
        <w:ind w:left="112"/>
        <w:rPr>
          <w:rFonts w:ascii="Palatino Linotype" w:hAnsi="Palatino Linotype"/>
          <w:color w:val="auto"/>
          <w:sz w:val="24"/>
          <w:szCs w:val="24"/>
        </w:rPr>
      </w:pPr>
    </w:p>
    <w:p w14:paraId="78024BE4"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No que tange às transferências, estas têm sofrido as mesmas influências das Receitas de Impostos, Taxas e Contribuições de Melhorias face a instabilidade que a economia brasileira vem sofrendo, contudo, foi considerado o possível incremento provocado pela geração de novos pontos de comércio no Município. A exceção se dá em função das receitas derivadas do SUS, FNDE e FUNDEB, visto que estas não sofrem influência direta do incremento</w:t>
      </w:r>
      <w:r w:rsidRPr="0070522A">
        <w:rPr>
          <w:rFonts w:ascii="Palatino Linotype" w:hAnsi="Palatino Linotype"/>
          <w:color w:val="auto"/>
          <w:spacing w:val="-1"/>
          <w:sz w:val="24"/>
          <w:szCs w:val="24"/>
        </w:rPr>
        <w:t xml:space="preserve"> </w:t>
      </w:r>
      <w:r w:rsidRPr="0070522A">
        <w:rPr>
          <w:rFonts w:ascii="Palatino Linotype" w:hAnsi="Palatino Linotype"/>
          <w:color w:val="auto"/>
          <w:sz w:val="24"/>
          <w:szCs w:val="24"/>
        </w:rPr>
        <w:t>apontado.</w:t>
      </w:r>
    </w:p>
    <w:p w14:paraId="0B2662D7" w14:textId="77777777" w:rsidR="0070522A" w:rsidRPr="0070522A" w:rsidRDefault="0070522A" w:rsidP="0070522A">
      <w:pPr>
        <w:pStyle w:val="Corpodetexto"/>
        <w:ind w:left="112"/>
        <w:rPr>
          <w:rFonts w:ascii="Palatino Linotype" w:hAnsi="Palatino Linotype"/>
          <w:color w:val="auto"/>
          <w:sz w:val="24"/>
          <w:szCs w:val="24"/>
        </w:rPr>
      </w:pPr>
    </w:p>
    <w:p w14:paraId="5AAA9311"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 xml:space="preserve">As demais receitas não têm comportamento regular e isto ocorre pelo fato de a maioria das receitas ser proveniente de convênios ou empréstimos regulamentados por contratos. </w:t>
      </w:r>
    </w:p>
    <w:p w14:paraId="5CD8DF85" w14:textId="77777777" w:rsidR="0070522A" w:rsidRPr="0070522A" w:rsidRDefault="0070522A" w:rsidP="0070522A">
      <w:pPr>
        <w:ind w:left="112"/>
        <w:jc w:val="both"/>
        <w:rPr>
          <w:rFonts w:ascii="Palatino Linotype" w:hAnsi="Palatino Linotype" w:cs="Arial"/>
        </w:rPr>
      </w:pPr>
    </w:p>
    <w:p w14:paraId="0703E42F" w14:textId="77777777" w:rsidR="0070522A" w:rsidRPr="0070522A" w:rsidRDefault="0070522A" w:rsidP="0070522A">
      <w:pPr>
        <w:ind w:left="112"/>
        <w:jc w:val="both"/>
        <w:rPr>
          <w:rFonts w:ascii="Palatino Linotype" w:hAnsi="Palatino Linotype" w:cs="Arial"/>
        </w:rPr>
      </w:pPr>
    </w:p>
    <w:p w14:paraId="3B55A402"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Em respeito ao princípio do equilíbrio orçamentário, tem-se buscado fazer com que as despesas variem na mesma proporção que as receitas. Além disso, vêm sendo adotadas medidas a fim de se reduzir o custeio e, consequentemente, desenvolver novas frentes para investimentos no Município.</w:t>
      </w:r>
    </w:p>
    <w:p w14:paraId="5F81BEC3" w14:textId="77777777" w:rsidR="0070522A" w:rsidRPr="0070522A" w:rsidRDefault="0070522A" w:rsidP="0070522A">
      <w:pPr>
        <w:pStyle w:val="Corpodetexto"/>
        <w:ind w:left="112"/>
        <w:rPr>
          <w:rFonts w:ascii="Palatino Linotype" w:hAnsi="Palatino Linotype"/>
          <w:color w:val="auto"/>
          <w:sz w:val="24"/>
          <w:szCs w:val="24"/>
        </w:rPr>
      </w:pPr>
    </w:p>
    <w:p w14:paraId="0F80171C" w14:textId="77777777" w:rsidR="0070522A" w:rsidRPr="0070522A" w:rsidRDefault="0070522A" w:rsidP="0070522A">
      <w:pPr>
        <w:pStyle w:val="Corpodetexto"/>
        <w:ind w:left="112"/>
        <w:rPr>
          <w:rFonts w:ascii="Palatino Linotype" w:hAnsi="Palatino Linotype"/>
          <w:color w:val="auto"/>
          <w:sz w:val="24"/>
          <w:szCs w:val="24"/>
        </w:rPr>
      </w:pPr>
    </w:p>
    <w:p w14:paraId="40033F99" w14:textId="77777777" w:rsidR="0070522A" w:rsidRPr="0070522A" w:rsidRDefault="0070522A" w:rsidP="0070522A">
      <w:pPr>
        <w:pStyle w:val="Corpodetexto"/>
        <w:ind w:left="112" w:firstLine="608"/>
        <w:rPr>
          <w:rFonts w:ascii="Palatino Linotype" w:hAnsi="Palatino Linotype"/>
          <w:color w:val="auto"/>
          <w:sz w:val="24"/>
          <w:szCs w:val="24"/>
        </w:rPr>
      </w:pPr>
      <w:r w:rsidRPr="0070522A">
        <w:rPr>
          <w:rFonts w:ascii="Palatino Linotype" w:hAnsi="Palatino Linotype"/>
          <w:color w:val="auto"/>
          <w:sz w:val="24"/>
          <w:szCs w:val="24"/>
        </w:rPr>
        <w:t>Para obtenção dos valores correntes, foram utilizados a arrecadação orçamentária do exercício de 2021, a previsão orçamentária para 2022 e as projeções para os exercícios de 2023 a 2025 considerando nestas projeções os índices de inflação e o PIB nos respectivos períodos.</w:t>
      </w:r>
    </w:p>
    <w:p w14:paraId="57ABB3C9" w14:textId="77777777" w:rsidR="0070522A" w:rsidRPr="0070522A" w:rsidRDefault="0070522A" w:rsidP="0070522A">
      <w:pPr>
        <w:pStyle w:val="Corpodetexto"/>
        <w:ind w:left="112"/>
        <w:rPr>
          <w:rFonts w:ascii="Palatino Linotype" w:hAnsi="Palatino Linotype"/>
          <w:color w:val="auto"/>
          <w:sz w:val="24"/>
          <w:szCs w:val="24"/>
        </w:rPr>
      </w:pPr>
    </w:p>
    <w:p w14:paraId="711D12BD" w14:textId="77777777" w:rsidR="0070522A" w:rsidRPr="0070522A" w:rsidRDefault="0070522A" w:rsidP="0070522A">
      <w:pPr>
        <w:pStyle w:val="Ttulo1"/>
        <w:ind w:left="112"/>
        <w:jc w:val="both"/>
        <w:rPr>
          <w:rFonts w:ascii="Palatino Linotype" w:hAnsi="Palatino Linotype" w:cs="Arial"/>
          <w:color w:val="auto"/>
          <w:sz w:val="24"/>
          <w:szCs w:val="24"/>
        </w:rPr>
      </w:pPr>
      <w:r w:rsidRPr="0070522A">
        <w:rPr>
          <w:rFonts w:ascii="Palatino Linotype" w:hAnsi="Palatino Linotype" w:cs="Arial"/>
          <w:color w:val="auto"/>
          <w:sz w:val="24"/>
          <w:szCs w:val="24"/>
        </w:rPr>
        <w:t>I – Metodologia e Memória de Cálculo das Metas Anuais para as Receitas e Despesas</w:t>
      </w:r>
    </w:p>
    <w:p w14:paraId="4CF31934" w14:textId="77777777" w:rsidR="0070522A" w:rsidRPr="0070522A" w:rsidRDefault="0070522A" w:rsidP="0070522A">
      <w:pPr>
        <w:pStyle w:val="Ttulo1"/>
        <w:ind w:left="112"/>
        <w:jc w:val="both"/>
        <w:rPr>
          <w:rFonts w:ascii="Palatino Linotype" w:hAnsi="Palatino Linotype" w:cs="Arial"/>
          <w:color w:val="auto"/>
          <w:sz w:val="24"/>
          <w:szCs w:val="24"/>
        </w:rPr>
      </w:pPr>
    </w:p>
    <w:p w14:paraId="251ACDBD" w14:textId="77777777" w:rsidR="0070522A" w:rsidRPr="0070522A" w:rsidRDefault="0070522A" w:rsidP="0070522A">
      <w:pPr>
        <w:pStyle w:val="Ttulo1"/>
        <w:ind w:left="112"/>
        <w:jc w:val="both"/>
        <w:rPr>
          <w:rFonts w:ascii="Palatino Linotype" w:hAnsi="Palatino Linotype" w:cs="Arial"/>
          <w:color w:val="auto"/>
          <w:sz w:val="24"/>
          <w:szCs w:val="24"/>
        </w:rPr>
      </w:pPr>
      <w:r w:rsidRPr="0070522A">
        <w:rPr>
          <w:rFonts w:ascii="Palatino Linotype" w:hAnsi="Palatino Linotype" w:cs="Arial"/>
          <w:color w:val="auto"/>
          <w:sz w:val="24"/>
          <w:szCs w:val="24"/>
        </w:rPr>
        <w:t xml:space="preserve">I.I – Metodologia e Memória de Cálculo das Receitas </w:t>
      </w:r>
    </w:p>
    <w:p w14:paraId="10538A14" w14:textId="77777777" w:rsidR="0070522A" w:rsidRPr="0070522A" w:rsidRDefault="0070522A" w:rsidP="0070522A">
      <w:pPr>
        <w:pStyle w:val="Ttulo1"/>
        <w:ind w:left="112"/>
        <w:jc w:val="both"/>
        <w:rPr>
          <w:rFonts w:ascii="Palatino Linotype" w:hAnsi="Palatino Linotype" w:cs="Arial"/>
          <w:color w:val="auto"/>
          <w:sz w:val="24"/>
          <w:szCs w:val="24"/>
        </w:rPr>
      </w:pPr>
    </w:p>
    <w:p w14:paraId="6FE4E081" w14:textId="77777777" w:rsidR="0070522A" w:rsidRPr="0070522A" w:rsidRDefault="0070522A" w:rsidP="0070522A">
      <w:pPr>
        <w:pStyle w:val="Recuodecorpodetexto"/>
        <w:ind w:left="112" w:firstLine="608"/>
        <w:jc w:val="both"/>
        <w:rPr>
          <w:rFonts w:ascii="Palatino Linotype" w:hAnsi="Palatino Linotype" w:cs="Arial"/>
        </w:rPr>
      </w:pPr>
      <w:r w:rsidRPr="0070522A">
        <w:rPr>
          <w:rFonts w:ascii="Palatino Linotype" w:hAnsi="Palatino Linotype" w:cs="Arial"/>
        </w:rPr>
        <w:t>A Estimativa da receita para o exercício de 2023 foi calculada pela análise de tendência, utilizando-se um modelo linear, tomando-se por base a arrecadação de cada receita nos exercícios de 2020 e 2021 e o valor previsto para 2022.</w:t>
      </w:r>
    </w:p>
    <w:p w14:paraId="3A859A64" w14:textId="77777777" w:rsidR="0070522A" w:rsidRPr="0070522A" w:rsidRDefault="0070522A" w:rsidP="0070522A">
      <w:pPr>
        <w:pStyle w:val="Recuodecorpodetexto"/>
        <w:ind w:left="112" w:firstLine="608"/>
        <w:jc w:val="both"/>
        <w:rPr>
          <w:rFonts w:ascii="Palatino Linotype" w:hAnsi="Palatino Linotype" w:cs="Arial"/>
        </w:rPr>
      </w:pPr>
    </w:p>
    <w:p w14:paraId="3280CCF7" w14:textId="77777777" w:rsidR="0070522A" w:rsidRPr="0070522A" w:rsidRDefault="0070522A" w:rsidP="0070522A">
      <w:pPr>
        <w:adjustRightInd w:val="0"/>
        <w:ind w:firstLine="720"/>
        <w:jc w:val="both"/>
        <w:rPr>
          <w:rFonts w:ascii="Palatino Linotype" w:eastAsiaTheme="minorHAnsi" w:hAnsi="Palatino Linotype" w:cs="Arial"/>
        </w:rPr>
      </w:pPr>
      <w:r w:rsidRPr="0070522A">
        <w:rPr>
          <w:rFonts w:ascii="Palatino Linotype" w:eastAsiaTheme="minorHAnsi" w:hAnsi="Palatino Linotype" w:cs="Arial"/>
        </w:rPr>
        <w:t>Projeção = Base de Cálculo x (índice de preço) x (índice de quantidade) x (efeito legislação), onde:</w:t>
      </w:r>
    </w:p>
    <w:p w14:paraId="1243E305" w14:textId="77777777" w:rsidR="0070522A" w:rsidRPr="0070522A" w:rsidRDefault="0070522A" w:rsidP="0070522A">
      <w:pPr>
        <w:adjustRightInd w:val="0"/>
        <w:jc w:val="both"/>
        <w:rPr>
          <w:rFonts w:ascii="Palatino Linotype" w:eastAsiaTheme="minorHAnsi" w:hAnsi="Palatino Linotype" w:cs="Arial"/>
        </w:rPr>
      </w:pPr>
      <w:r w:rsidRPr="0070522A">
        <w:rPr>
          <w:rFonts w:ascii="Palatino Linotype" w:eastAsiaTheme="minorHAnsi" w:hAnsi="Palatino Linotype" w:cs="Arial"/>
        </w:rPr>
        <w:t xml:space="preserve"> </w:t>
      </w:r>
    </w:p>
    <w:p w14:paraId="5168EEA3" w14:textId="77777777" w:rsidR="0070522A" w:rsidRPr="0070522A" w:rsidRDefault="0070522A" w:rsidP="0070522A">
      <w:pPr>
        <w:adjustRightInd w:val="0"/>
        <w:jc w:val="both"/>
        <w:rPr>
          <w:rFonts w:ascii="Palatino Linotype" w:eastAsiaTheme="minorHAnsi" w:hAnsi="Palatino Linotype" w:cs="Arial"/>
        </w:rPr>
      </w:pPr>
      <w:r w:rsidRPr="0070522A">
        <w:rPr>
          <w:rFonts w:ascii="Palatino Linotype" w:eastAsiaTheme="minorHAnsi" w:hAnsi="Palatino Linotype" w:cs="Arial"/>
          <w:b/>
          <w:bCs/>
        </w:rPr>
        <w:t xml:space="preserve">Projeção </w:t>
      </w:r>
      <w:r w:rsidRPr="0070522A">
        <w:rPr>
          <w:rFonts w:ascii="Palatino Linotype" w:eastAsiaTheme="minorHAnsi" w:hAnsi="Palatino Linotype" w:cs="Arial"/>
        </w:rPr>
        <w:t xml:space="preserve">- é o valor a ser projetado para uma determinada receita, </w:t>
      </w:r>
      <w:r w:rsidRPr="0070522A">
        <w:rPr>
          <w:rFonts w:ascii="Palatino Linotype" w:eastAsiaTheme="minorHAnsi" w:hAnsi="Palatino Linotype" w:cs="Arial"/>
          <w:b/>
          <w:bCs/>
        </w:rPr>
        <w:t xml:space="preserve">de forma mensal </w:t>
      </w:r>
      <w:r w:rsidRPr="0070522A">
        <w:rPr>
          <w:rFonts w:ascii="Palatino Linotype" w:eastAsiaTheme="minorHAnsi" w:hAnsi="Palatino Linotype" w:cs="Arial"/>
        </w:rPr>
        <w:t xml:space="preserve">para atender à execução orçamentária, cuja programação é feita mensalmente. </w:t>
      </w:r>
    </w:p>
    <w:p w14:paraId="4197C96B" w14:textId="77777777" w:rsidR="0070522A" w:rsidRPr="0070522A" w:rsidRDefault="0070522A" w:rsidP="0070522A">
      <w:pPr>
        <w:adjustRightInd w:val="0"/>
        <w:jc w:val="both"/>
        <w:rPr>
          <w:rFonts w:ascii="Palatino Linotype" w:eastAsiaTheme="minorHAnsi" w:hAnsi="Palatino Linotype" w:cs="Arial"/>
        </w:rPr>
      </w:pPr>
      <w:r w:rsidRPr="0070522A">
        <w:rPr>
          <w:rFonts w:ascii="Palatino Linotype" w:eastAsiaTheme="minorHAnsi" w:hAnsi="Palatino Linotype" w:cs="Arial"/>
          <w:b/>
          <w:bCs/>
        </w:rPr>
        <w:t xml:space="preserve">Base de cálculo </w:t>
      </w:r>
      <w:r w:rsidRPr="0070522A">
        <w:rPr>
          <w:rFonts w:ascii="Palatino Linotype" w:eastAsiaTheme="minorHAnsi" w:hAnsi="Palatino Linotype" w:cs="Arial"/>
        </w:rPr>
        <w:t xml:space="preserve">- É obtida por meio da série histórica de arrecadação da receita e dependerá do seu comportamento mensal: </w:t>
      </w:r>
    </w:p>
    <w:p w14:paraId="7716DE6A" w14:textId="77777777" w:rsidR="0070522A" w:rsidRPr="0070522A" w:rsidRDefault="0070522A" w:rsidP="0070522A">
      <w:pPr>
        <w:adjustRightInd w:val="0"/>
        <w:jc w:val="both"/>
        <w:rPr>
          <w:rFonts w:ascii="Palatino Linotype" w:eastAsiaTheme="minorHAnsi" w:hAnsi="Palatino Linotype" w:cs="Arial"/>
        </w:rPr>
      </w:pPr>
      <w:r w:rsidRPr="0070522A">
        <w:rPr>
          <w:rFonts w:ascii="Palatino Linotype" w:eastAsiaTheme="minorHAnsi" w:hAnsi="Palatino Linotype" w:cs="Arial"/>
        </w:rPr>
        <w:t xml:space="preserve">• a arrecadação de cada mês (arrecadação mensal) do ano anterior; </w:t>
      </w:r>
    </w:p>
    <w:p w14:paraId="435F92D3" w14:textId="77777777" w:rsidR="0070522A" w:rsidRPr="0070522A" w:rsidRDefault="0070522A" w:rsidP="0070522A">
      <w:pPr>
        <w:pStyle w:val="Recuodecorpodetexto"/>
        <w:ind w:left="0"/>
        <w:jc w:val="both"/>
        <w:rPr>
          <w:rFonts w:ascii="Palatino Linotype" w:eastAsiaTheme="minorHAnsi" w:hAnsi="Palatino Linotype" w:cs="Arial"/>
        </w:rPr>
      </w:pPr>
      <w:r w:rsidRPr="0070522A">
        <w:rPr>
          <w:rFonts w:ascii="Palatino Linotype" w:eastAsiaTheme="minorHAnsi" w:hAnsi="Palatino Linotype" w:cs="Arial"/>
        </w:rPr>
        <w:t>• a média de arrecadação mensal do ano anterior (arrecadação anual do ano anterior dividido por doze);</w:t>
      </w:r>
    </w:p>
    <w:p w14:paraId="44908E7B" w14:textId="77777777" w:rsidR="0070522A" w:rsidRPr="0070522A" w:rsidRDefault="0070522A" w:rsidP="0070522A">
      <w:pPr>
        <w:adjustRightInd w:val="0"/>
        <w:jc w:val="both"/>
        <w:rPr>
          <w:rFonts w:ascii="Palatino Linotype" w:eastAsiaTheme="minorHAnsi" w:hAnsi="Palatino Linotype" w:cs="Arial"/>
        </w:rPr>
      </w:pPr>
      <w:r w:rsidRPr="0070522A">
        <w:rPr>
          <w:rFonts w:ascii="Palatino Linotype" w:eastAsiaTheme="minorHAnsi" w:hAnsi="Palatino Linotype" w:cs="Arial"/>
        </w:rPr>
        <w:t xml:space="preserve">• a média de arrecadação mensal dos últimos doze meses ou média móvel dos últimos doze meses (arrecadação total dos últimos doze meses dividido por doze); </w:t>
      </w:r>
    </w:p>
    <w:p w14:paraId="78B6D8C0" w14:textId="77777777" w:rsidR="0070522A" w:rsidRPr="0070522A" w:rsidRDefault="0070522A" w:rsidP="0070522A">
      <w:pPr>
        <w:spacing w:after="120"/>
        <w:jc w:val="both"/>
        <w:rPr>
          <w:rFonts w:ascii="Palatino Linotype" w:hAnsi="Palatino Linotype" w:cs="Arial"/>
        </w:rPr>
      </w:pPr>
    </w:p>
    <w:p w14:paraId="19A63650" w14:textId="5DE0A013" w:rsidR="0070522A" w:rsidRPr="0070522A" w:rsidRDefault="0070522A" w:rsidP="0070522A">
      <w:pPr>
        <w:spacing w:after="120"/>
        <w:ind w:left="112" w:firstLine="608"/>
        <w:jc w:val="both"/>
        <w:rPr>
          <w:rFonts w:ascii="Palatino Linotype" w:hAnsi="Palatino Linotype" w:cs="Arial"/>
        </w:rPr>
      </w:pPr>
      <w:r w:rsidRPr="0070522A">
        <w:rPr>
          <w:rFonts w:ascii="Palatino Linotype" w:hAnsi="Palatino Linotype" w:cs="Arial"/>
        </w:rPr>
        <w:t>Para 2024 e 20</w:t>
      </w:r>
      <w:r>
        <w:rPr>
          <w:rFonts w:ascii="Palatino Linotype" w:hAnsi="Palatino Linotype" w:cs="Arial"/>
        </w:rPr>
        <w:t>25</w:t>
      </w:r>
      <w:r w:rsidRPr="0070522A">
        <w:rPr>
          <w:rFonts w:ascii="Palatino Linotype" w:hAnsi="Palatino Linotype" w:cs="Arial"/>
        </w:rPr>
        <w:t xml:space="preserve"> as receitas e despesas foram projetadas à uma expectativa inflacionária do IPCA.</w:t>
      </w:r>
    </w:p>
    <w:p w14:paraId="187E5895" w14:textId="77777777" w:rsidR="0070522A" w:rsidRPr="0070522A" w:rsidRDefault="0070522A" w:rsidP="0070522A">
      <w:pPr>
        <w:ind w:left="112"/>
        <w:jc w:val="both"/>
        <w:rPr>
          <w:rFonts w:ascii="Palatino Linotype" w:hAnsi="Palatino Linotype" w:cs="Arial"/>
        </w:rPr>
      </w:pPr>
    </w:p>
    <w:p w14:paraId="4219047A" w14:textId="77777777" w:rsidR="0070522A" w:rsidRPr="0070522A" w:rsidRDefault="0070522A" w:rsidP="0070522A">
      <w:pPr>
        <w:ind w:left="112"/>
        <w:jc w:val="both"/>
        <w:rPr>
          <w:rFonts w:ascii="Palatino Linotype" w:hAnsi="Palatino Linotype" w:cs="Arial"/>
        </w:rPr>
      </w:pPr>
      <w:bookmarkStart w:id="0" w:name="_MON_1218391468"/>
      <w:bookmarkStart w:id="1" w:name="_MON_1220185033"/>
      <w:bookmarkStart w:id="2" w:name="_MON_1251548708"/>
      <w:bookmarkStart w:id="3" w:name="_MON_1251613680"/>
      <w:bookmarkStart w:id="4" w:name="_MON_1282482342"/>
      <w:bookmarkStart w:id="5" w:name="_MON_1282482972"/>
      <w:bookmarkStart w:id="6" w:name="_MON_1282483866"/>
      <w:bookmarkStart w:id="7" w:name="_MON_1314601638"/>
      <w:bookmarkStart w:id="8" w:name="_MON_1314603458"/>
      <w:bookmarkStart w:id="9" w:name="_MON_1345463584"/>
      <w:bookmarkStart w:id="10" w:name="_MON_1346135938"/>
      <w:bookmarkStart w:id="11" w:name="_MON_1346137136"/>
      <w:bookmarkStart w:id="12" w:name="_MON_1346139278"/>
      <w:bookmarkStart w:id="13" w:name="_MON_1377683184"/>
      <w:bookmarkStart w:id="14" w:name="_MON_1377685367"/>
      <w:bookmarkStart w:id="15" w:name="_MON_1377685924"/>
      <w:bookmarkStart w:id="16" w:name="_MON_1407828414"/>
      <w:bookmarkStart w:id="17" w:name="_MON_1407828667"/>
      <w:bookmarkStart w:id="18" w:name="_MON_1407829167"/>
      <w:bookmarkStart w:id="19" w:name="_MON_1439199818"/>
      <w:bookmarkStart w:id="20" w:name="_MON_1439200280"/>
      <w:bookmarkStart w:id="21" w:name="_MON_1472538012"/>
      <w:bookmarkStart w:id="22" w:name="_MON_1507046322"/>
      <w:bookmarkStart w:id="23" w:name="_MON_150704659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4CD8693" w14:textId="77777777" w:rsidR="0070522A" w:rsidRPr="0070522A" w:rsidRDefault="0070522A" w:rsidP="0070522A">
      <w:pPr>
        <w:pStyle w:val="Ttulo1"/>
        <w:ind w:left="112"/>
        <w:jc w:val="both"/>
        <w:rPr>
          <w:rFonts w:ascii="Palatino Linotype" w:hAnsi="Palatino Linotype" w:cs="Arial"/>
          <w:color w:val="auto"/>
          <w:sz w:val="24"/>
          <w:szCs w:val="24"/>
        </w:rPr>
      </w:pPr>
      <w:r w:rsidRPr="0070522A">
        <w:rPr>
          <w:rFonts w:ascii="Palatino Linotype" w:hAnsi="Palatino Linotype" w:cs="Arial"/>
          <w:color w:val="auto"/>
          <w:sz w:val="24"/>
          <w:szCs w:val="24"/>
        </w:rPr>
        <w:t>I.II – Metodologia e Memória de Cálculo das Principais Despesas</w:t>
      </w:r>
    </w:p>
    <w:p w14:paraId="6BB08F77" w14:textId="77777777" w:rsidR="0070522A" w:rsidRPr="0070522A" w:rsidRDefault="0070522A" w:rsidP="0070522A">
      <w:pPr>
        <w:pStyle w:val="Ttulo1"/>
        <w:ind w:left="112"/>
        <w:jc w:val="both"/>
        <w:rPr>
          <w:rFonts w:ascii="Palatino Linotype" w:hAnsi="Palatino Linotype" w:cs="Arial"/>
          <w:color w:val="auto"/>
          <w:sz w:val="24"/>
          <w:szCs w:val="24"/>
        </w:rPr>
      </w:pPr>
    </w:p>
    <w:p w14:paraId="6F7CAECE" w14:textId="247AEEF5" w:rsidR="0070522A" w:rsidRPr="0070522A" w:rsidRDefault="0070522A" w:rsidP="0070522A">
      <w:pPr>
        <w:pStyle w:val="Ttulo1"/>
        <w:ind w:left="112" w:firstLine="597"/>
        <w:jc w:val="both"/>
        <w:rPr>
          <w:rFonts w:ascii="Palatino Linotype" w:hAnsi="Palatino Linotype" w:cs="Arial"/>
          <w:b/>
          <w:bCs/>
          <w:color w:val="auto"/>
          <w:sz w:val="24"/>
          <w:szCs w:val="24"/>
        </w:rPr>
      </w:pPr>
      <w:r w:rsidRPr="0070522A">
        <w:rPr>
          <w:rFonts w:ascii="Palatino Linotype" w:hAnsi="Palatino Linotype" w:cs="Arial"/>
          <w:color w:val="auto"/>
          <w:sz w:val="24"/>
          <w:szCs w:val="24"/>
        </w:rPr>
        <w:t>As metas anuais de Despesa foram calculadas a partir das despesas Orçamentárias, realizadas, obtendo a média de sua evolução.</w:t>
      </w:r>
    </w:p>
    <w:p w14:paraId="1D4B084E" w14:textId="77777777" w:rsidR="0070522A" w:rsidRPr="0070522A" w:rsidRDefault="0070522A" w:rsidP="0070522A">
      <w:pPr>
        <w:ind w:left="112"/>
        <w:jc w:val="both"/>
        <w:rPr>
          <w:rFonts w:ascii="Palatino Linotype" w:hAnsi="Palatino Linotype" w:cs="Arial"/>
        </w:rPr>
      </w:pPr>
    </w:p>
    <w:p w14:paraId="628A485D" w14:textId="77777777" w:rsidR="0070522A" w:rsidRPr="0070522A" w:rsidRDefault="0070522A" w:rsidP="0070522A">
      <w:pPr>
        <w:pStyle w:val="Corpodetexto2"/>
        <w:spacing w:line="240" w:lineRule="auto"/>
        <w:ind w:left="112"/>
        <w:jc w:val="both"/>
        <w:rPr>
          <w:rFonts w:ascii="Palatino Linotype" w:hAnsi="Palatino Linotype" w:cs="Arial"/>
          <w:b/>
          <w:bCs/>
        </w:rPr>
      </w:pPr>
      <w:r w:rsidRPr="0070522A">
        <w:rPr>
          <w:rFonts w:ascii="Palatino Linotype" w:hAnsi="Palatino Linotype" w:cs="Arial"/>
          <w:b/>
          <w:bCs/>
        </w:rPr>
        <w:t>III – Metodologia e Memória de Cálculo das Metas Anuais para o Resultado Primário</w:t>
      </w:r>
    </w:p>
    <w:p w14:paraId="6E07022E" w14:textId="77777777" w:rsidR="0070522A" w:rsidRPr="0070522A" w:rsidRDefault="0070522A" w:rsidP="0070522A">
      <w:pPr>
        <w:ind w:left="112"/>
        <w:jc w:val="both"/>
        <w:rPr>
          <w:rFonts w:ascii="Palatino Linotype" w:hAnsi="Palatino Linotype" w:cs="Arial"/>
        </w:rPr>
      </w:pPr>
    </w:p>
    <w:p w14:paraId="1DEB9C38" w14:textId="77777777" w:rsidR="0070522A" w:rsidRPr="0070522A" w:rsidRDefault="0070522A" w:rsidP="0070522A">
      <w:pPr>
        <w:pStyle w:val="Default"/>
        <w:ind w:left="112"/>
        <w:jc w:val="both"/>
        <w:rPr>
          <w:rFonts w:ascii="Palatino Linotype" w:hAnsi="Palatino Linotype" w:cs="Arial"/>
          <w:color w:val="auto"/>
        </w:rPr>
      </w:pPr>
      <w:r w:rsidRPr="0070522A">
        <w:rPr>
          <w:rFonts w:ascii="Palatino Linotype" w:hAnsi="Palatino Linotype" w:cs="Arial"/>
          <w:color w:val="auto"/>
        </w:rPr>
        <w:tab/>
      </w:r>
      <w:r w:rsidRPr="0070522A">
        <w:rPr>
          <w:rFonts w:ascii="Palatino Linotype" w:hAnsi="Palatino Linotype" w:cs="Arial"/>
          <w:color w:val="auto"/>
        </w:rPr>
        <w:tab/>
        <w:t xml:space="preserve">A finalidade do conceito de Resultado Primário é indicar se os níveis de gastos orçamentários dos entes federativos são compatíveis com sua arrecadação, ou seja, se as Receitas Primárias são capazes de suportar as Despesas Primárias. </w:t>
      </w:r>
    </w:p>
    <w:p w14:paraId="72D4CD68" w14:textId="77777777" w:rsidR="0070522A" w:rsidRPr="0070522A" w:rsidRDefault="0070522A" w:rsidP="0070522A">
      <w:pPr>
        <w:pStyle w:val="Default"/>
        <w:ind w:left="112"/>
        <w:jc w:val="both"/>
        <w:rPr>
          <w:rFonts w:ascii="Palatino Linotype" w:hAnsi="Palatino Linotype" w:cs="Arial"/>
          <w:color w:val="auto"/>
        </w:rPr>
      </w:pPr>
    </w:p>
    <w:p w14:paraId="68D91068" w14:textId="77777777" w:rsidR="0070522A" w:rsidRPr="0070522A" w:rsidRDefault="0070522A" w:rsidP="0070522A">
      <w:pPr>
        <w:pStyle w:val="Corpodetexto2"/>
        <w:spacing w:line="240" w:lineRule="auto"/>
        <w:ind w:left="112"/>
        <w:jc w:val="both"/>
        <w:rPr>
          <w:rFonts w:ascii="Palatino Linotype" w:hAnsi="Palatino Linotype" w:cs="Arial"/>
          <w:bCs/>
        </w:rPr>
      </w:pPr>
      <w:r w:rsidRPr="0070522A">
        <w:rPr>
          <w:rFonts w:ascii="Palatino Linotype" w:hAnsi="Palatino Linotype" w:cs="Arial"/>
          <w:b/>
        </w:rPr>
        <w:tab/>
      </w:r>
      <w:r w:rsidRPr="0070522A">
        <w:rPr>
          <w:rFonts w:ascii="Palatino Linotype" w:hAnsi="Palatino Linotype" w:cs="Arial"/>
          <w:b/>
        </w:rPr>
        <w:tab/>
      </w:r>
      <w:r w:rsidRPr="0070522A">
        <w:rPr>
          <w:rFonts w:ascii="Palatino Linotype" w:hAnsi="Palatino Linotype" w:cs="Arial"/>
          <w:bCs/>
        </w:rPr>
        <w:t>Em atendimento ao artigo 4o, § 2o, inciso II da Lei de Responsabilidade Fiscal – LRF, fazemos, a seguir, uma explanação a respeito da memória e metodologia de cálculo das metas de resultado primário, para o exercício financeiro a que se refere a LDO e para os dois exercícios subseqüentes.</w:t>
      </w:r>
    </w:p>
    <w:p w14:paraId="6A5748E9" w14:textId="77777777" w:rsidR="0070522A" w:rsidRPr="0070522A" w:rsidRDefault="0070522A" w:rsidP="0070522A">
      <w:pPr>
        <w:ind w:left="112"/>
        <w:jc w:val="both"/>
        <w:rPr>
          <w:rFonts w:ascii="Palatino Linotype" w:hAnsi="Palatino Linotype" w:cs="Arial"/>
        </w:rPr>
      </w:pPr>
    </w:p>
    <w:p w14:paraId="3194F866" w14:textId="468D0E1E" w:rsidR="0070522A" w:rsidRPr="0070522A" w:rsidRDefault="00EF74D5" w:rsidP="0070522A">
      <w:pPr>
        <w:ind w:left="112"/>
        <w:jc w:val="both"/>
        <w:rPr>
          <w:rFonts w:ascii="Palatino Linotype" w:hAnsi="Palatino Linotype" w:cs="Arial"/>
          <w:b/>
          <w:bCs/>
        </w:rPr>
      </w:pPr>
      <w:r w:rsidRPr="00EF74D5">
        <w:drawing>
          <wp:inline distT="0" distB="0" distL="0" distR="0" wp14:anchorId="5B9F03FE" wp14:editId="1068710C">
            <wp:extent cx="5579745" cy="2045970"/>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79745" cy="2045970"/>
                    </a:xfrm>
                    <a:prstGeom prst="rect">
                      <a:avLst/>
                    </a:prstGeom>
                    <a:noFill/>
                    <a:ln>
                      <a:noFill/>
                    </a:ln>
                  </pic:spPr>
                </pic:pic>
              </a:graphicData>
            </a:graphic>
          </wp:inline>
        </w:drawing>
      </w:r>
    </w:p>
    <w:p w14:paraId="3B0A2E28" w14:textId="77777777" w:rsidR="0070522A" w:rsidRPr="0070522A" w:rsidRDefault="0070522A" w:rsidP="0070522A">
      <w:pPr>
        <w:ind w:left="112"/>
        <w:jc w:val="both"/>
        <w:rPr>
          <w:rFonts w:ascii="Palatino Linotype" w:hAnsi="Palatino Linotype" w:cs="Arial"/>
          <w:b/>
          <w:bCs/>
        </w:rPr>
      </w:pPr>
    </w:p>
    <w:p w14:paraId="10998ADA" w14:textId="77777777" w:rsidR="0070522A" w:rsidRPr="0070522A" w:rsidRDefault="0070522A" w:rsidP="0070522A">
      <w:pPr>
        <w:ind w:left="112"/>
        <w:jc w:val="both"/>
        <w:rPr>
          <w:rFonts w:ascii="Palatino Linotype" w:hAnsi="Palatino Linotype" w:cs="Arial"/>
          <w:b/>
          <w:bCs/>
        </w:rPr>
      </w:pPr>
    </w:p>
    <w:p w14:paraId="6D708A42" w14:textId="77777777" w:rsidR="0070522A" w:rsidRPr="0070522A" w:rsidRDefault="0070522A" w:rsidP="0070522A">
      <w:pPr>
        <w:ind w:left="112"/>
        <w:jc w:val="both"/>
        <w:rPr>
          <w:rFonts w:ascii="Palatino Linotype" w:hAnsi="Palatino Linotype" w:cs="Arial"/>
          <w:b/>
          <w:bCs/>
        </w:rPr>
      </w:pPr>
    </w:p>
    <w:p w14:paraId="1175079B" w14:textId="39ED2B9D" w:rsidR="0070522A" w:rsidRPr="0070522A" w:rsidRDefault="0070522A" w:rsidP="0070522A">
      <w:pPr>
        <w:jc w:val="right"/>
        <w:rPr>
          <w:rFonts w:ascii="Palatino Linotype" w:hAnsi="Palatino Linotype" w:cs="Arial"/>
        </w:rPr>
      </w:pPr>
      <w:r>
        <w:rPr>
          <w:rFonts w:ascii="Palatino Linotype" w:hAnsi="Palatino Linotype" w:cs="Arial"/>
        </w:rPr>
        <w:t>Paranatinga</w:t>
      </w:r>
      <w:r w:rsidRPr="0070522A">
        <w:rPr>
          <w:rFonts w:ascii="Palatino Linotype" w:hAnsi="Palatino Linotype" w:cs="Arial"/>
        </w:rPr>
        <w:t xml:space="preserve"> - MT, 30 de </w:t>
      </w:r>
      <w:proofErr w:type="gramStart"/>
      <w:r w:rsidRPr="0070522A">
        <w:rPr>
          <w:rFonts w:ascii="Palatino Linotype" w:hAnsi="Palatino Linotype" w:cs="Arial"/>
        </w:rPr>
        <w:t>Maio</w:t>
      </w:r>
      <w:proofErr w:type="gramEnd"/>
      <w:r w:rsidRPr="0070522A">
        <w:rPr>
          <w:rFonts w:ascii="Palatino Linotype" w:hAnsi="Palatino Linotype" w:cs="Arial"/>
        </w:rPr>
        <w:t xml:space="preserve"> de 2022.</w:t>
      </w:r>
    </w:p>
    <w:p w14:paraId="51B18213" w14:textId="77777777" w:rsidR="0070522A" w:rsidRPr="0070522A" w:rsidRDefault="0070522A" w:rsidP="0070522A">
      <w:pPr>
        <w:jc w:val="center"/>
        <w:rPr>
          <w:rFonts w:ascii="Palatino Linotype" w:hAnsi="Palatino Linotype" w:cs="Arial"/>
        </w:rPr>
      </w:pPr>
    </w:p>
    <w:p w14:paraId="21D7F8A8" w14:textId="77777777" w:rsidR="0070522A" w:rsidRPr="0070522A" w:rsidRDefault="0070522A" w:rsidP="0070522A">
      <w:pPr>
        <w:jc w:val="center"/>
        <w:rPr>
          <w:rFonts w:ascii="Palatino Linotype" w:hAnsi="Palatino Linotype" w:cs="Arial"/>
        </w:rPr>
      </w:pPr>
    </w:p>
    <w:p w14:paraId="756B1221" w14:textId="77777777" w:rsidR="0070522A" w:rsidRPr="0070522A" w:rsidRDefault="0070522A" w:rsidP="0070522A">
      <w:pPr>
        <w:jc w:val="center"/>
        <w:rPr>
          <w:rFonts w:ascii="Palatino Linotype" w:hAnsi="Palatino Linotype" w:cs="Arial"/>
        </w:rPr>
      </w:pPr>
    </w:p>
    <w:p w14:paraId="27A378AC" w14:textId="77777777" w:rsidR="0070522A" w:rsidRPr="0070522A" w:rsidRDefault="0070522A" w:rsidP="0070522A">
      <w:pPr>
        <w:jc w:val="center"/>
        <w:rPr>
          <w:rFonts w:ascii="Palatino Linotype" w:hAnsi="Palatino Linotype" w:cs="Arial"/>
        </w:rPr>
      </w:pPr>
    </w:p>
    <w:p w14:paraId="45591B8D" w14:textId="77777777" w:rsidR="0070522A" w:rsidRPr="0070522A" w:rsidRDefault="0070522A" w:rsidP="0070522A">
      <w:pPr>
        <w:jc w:val="center"/>
        <w:rPr>
          <w:rFonts w:ascii="Palatino Linotype" w:hAnsi="Palatino Linotype" w:cs="Arial"/>
        </w:rPr>
      </w:pPr>
    </w:p>
    <w:p w14:paraId="6759AA46" w14:textId="77777777" w:rsidR="0070522A" w:rsidRDefault="0070522A" w:rsidP="0070522A">
      <w:pPr>
        <w:jc w:val="center"/>
        <w:rPr>
          <w:rFonts w:ascii="Palatino Linotype" w:hAnsi="Palatino Linotype" w:cs="Arial"/>
          <w:b/>
        </w:rPr>
      </w:pPr>
      <w:r w:rsidRPr="0070522A">
        <w:rPr>
          <w:rFonts w:ascii="Palatino Linotype" w:hAnsi="Palatino Linotype" w:cs="Arial"/>
          <w:b/>
        </w:rPr>
        <w:t xml:space="preserve">JOSIMAR MARQUES BARBOSA </w:t>
      </w:r>
    </w:p>
    <w:p w14:paraId="62C53706" w14:textId="72A60D50" w:rsidR="0070522A" w:rsidRPr="0070522A" w:rsidRDefault="0070522A" w:rsidP="0070522A">
      <w:pPr>
        <w:jc w:val="center"/>
        <w:rPr>
          <w:rFonts w:ascii="Palatino Linotype" w:hAnsi="Palatino Linotype" w:cs="Arial"/>
          <w:b/>
        </w:rPr>
      </w:pPr>
      <w:r w:rsidRPr="0070522A">
        <w:rPr>
          <w:rFonts w:ascii="Palatino Linotype" w:hAnsi="Palatino Linotype" w:cs="Arial"/>
          <w:b/>
        </w:rPr>
        <w:t>PREFEITO MUNICIPAL</w:t>
      </w:r>
    </w:p>
    <w:p w14:paraId="42DCDF5C" w14:textId="77777777" w:rsidR="0070522A" w:rsidRPr="0070522A" w:rsidRDefault="0070522A" w:rsidP="0070522A">
      <w:pPr>
        <w:pStyle w:val="Corpodetexto"/>
        <w:rPr>
          <w:rFonts w:ascii="Palatino Linotype" w:hAnsi="Palatino Linotype"/>
          <w:b/>
          <w:color w:val="auto"/>
          <w:sz w:val="24"/>
          <w:szCs w:val="24"/>
        </w:rPr>
      </w:pPr>
    </w:p>
    <w:p w14:paraId="2E71A1C4" w14:textId="77777777" w:rsidR="0070522A" w:rsidRPr="0070522A" w:rsidRDefault="0070522A" w:rsidP="0070522A">
      <w:pPr>
        <w:ind w:left="112"/>
        <w:jc w:val="both"/>
        <w:rPr>
          <w:rFonts w:ascii="Palatino Linotype" w:hAnsi="Palatino Linotype" w:cs="Arial"/>
          <w:b/>
          <w:bCs/>
        </w:rPr>
      </w:pPr>
    </w:p>
    <w:p w14:paraId="5857B1C5" w14:textId="77777777" w:rsidR="0070522A" w:rsidRPr="0070522A" w:rsidRDefault="0070522A" w:rsidP="0070522A">
      <w:pPr>
        <w:ind w:left="112"/>
        <w:jc w:val="both"/>
        <w:rPr>
          <w:rFonts w:ascii="Palatino Linotype" w:hAnsi="Palatino Linotype" w:cs="Arial"/>
          <w:b/>
          <w:bCs/>
        </w:rPr>
      </w:pPr>
    </w:p>
    <w:p w14:paraId="374BBD0A" w14:textId="77777777" w:rsidR="0070522A" w:rsidRPr="0070522A" w:rsidRDefault="0070522A" w:rsidP="0070522A">
      <w:pPr>
        <w:ind w:left="112"/>
        <w:jc w:val="both"/>
        <w:rPr>
          <w:rFonts w:ascii="Palatino Linotype" w:hAnsi="Palatino Linotype" w:cs="Arial"/>
          <w:b/>
          <w:bCs/>
        </w:rPr>
      </w:pPr>
    </w:p>
    <w:p w14:paraId="6FA006BD" w14:textId="77777777" w:rsidR="0070522A" w:rsidRPr="0070522A" w:rsidRDefault="0070522A" w:rsidP="0070522A">
      <w:pPr>
        <w:ind w:left="112"/>
        <w:jc w:val="both"/>
        <w:rPr>
          <w:rFonts w:ascii="Palatino Linotype" w:hAnsi="Palatino Linotype" w:cs="Arial"/>
          <w:b/>
          <w:bCs/>
        </w:rPr>
      </w:pPr>
    </w:p>
    <w:p w14:paraId="692F8641" w14:textId="77777777" w:rsidR="0070522A" w:rsidRPr="0070522A" w:rsidRDefault="0070522A" w:rsidP="0070522A">
      <w:pPr>
        <w:ind w:left="112"/>
        <w:jc w:val="both"/>
        <w:rPr>
          <w:rFonts w:ascii="Palatino Linotype" w:hAnsi="Palatino Linotype" w:cs="Arial"/>
          <w:b/>
          <w:bCs/>
        </w:rPr>
      </w:pPr>
    </w:p>
    <w:p w14:paraId="5F3E66B8" w14:textId="77777777" w:rsidR="0070522A" w:rsidRPr="0070522A" w:rsidRDefault="0070522A" w:rsidP="0070522A">
      <w:pPr>
        <w:ind w:left="112"/>
        <w:jc w:val="both"/>
        <w:rPr>
          <w:rFonts w:ascii="Palatino Linotype" w:hAnsi="Palatino Linotype" w:cs="Arial"/>
          <w:b/>
          <w:bCs/>
        </w:rPr>
      </w:pPr>
    </w:p>
    <w:p w14:paraId="77F78B64" w14:textId="77777777" w:rsidR="0070522A" w:rsidRPr="0070522A" w:rsidRDefault="0070522A" w:rsidP="0070522A">
      <w:pPr>
        <w:ind w:left="112"/>
        <w:jc w:val="both"/>
        <w:rPr>
          <w:rFonts w:ascii="Palatino Linotype" w:hAnsi="Palatino Linotype" w:cs="Arial"/>
          <w:b/>
          <w:bCs/>
        </w:rPr>
      </w:pPr>
    </w:p>
    <w:p w14:paraId="6EAB6067" w14:textId="77777777" w:rsidR="0070522A" w:rsidRPr="0070522A" w:rsidRDefault="0070522A" w:rsidP="0070522A">
      <w:pPr>
        <w:ind w:left="112"/>
        <w:jc w:val="both"/>
        <w:rPr>
          <w:rFonts w:ascii="Palatino Linotype" w:hAnsi="Palatino Linotype" w:cs="Arial"/>
          <w:b/>
          <w:bCs/>
        </w:rPr>
      </w:pPr>
    </w:p>
    <w:p w14:paraId="3F9E50F8" w14:textId="77777777" w:rsidR="0070522A" w:rsidRPr="0070522A" w:rsidRDefault="0070522A" w:rsidP="0070522A">
      <w:pPr>
        <w:ind w:left="112"/>
        <w:jc w:val="both"/>
        <w:rPr>
          <w:rFonts w:ascii="Palatino Linotype" w:hAnsi="Palatino Linotype" w:cs="Arial"/>
          <w:b/>
          <w:bCs/>
        </w:rPr>
      </w:pPr>
    </w:p>
    <w:p w14:paraId="3795162E" w14:textId="77777777" w:rsidR="0070522A" w:rsidRPr="0070522A" w:rsidRDefault="0070522A" w:rsidP="0070522A">
      <w:pPr>
        <w:ind w:left="112"/>
        <w:jc w:val="both"/>
        <w:rPr>
          <w:rFonts w:ascii="Palatino Linotype" w:hAnsi="Palatino Linotype" w:cs="Arial"/>
          <w:b/>
          <w:bCs/>
        </w:rPr>
      </w:pPr>
    </w:p>
    <w:p w14:paraId="6D80C59D" w14:textId="77777777" w:rsidR="0070522A" w:rsidRPr="0070522A" w:rsidRDefault="0070522A" w:rsidP="0070522A">
      <w:pPr>
        <w:ind w:left="112"/>
        <w:jc w:val="both"/>
        <w:rPr>
          <w:rFonts w:ascii="Palatino Linotype" w:hAnsi="Palatino Linotype" w:cs="Arial"/>
          <w:b/>
          <w:bCs/>
        </w:rPr>
      </w:pPr>
    </w:p>
    <w:p w14:paraId="002A0F40" w14:textId="77777777" w:rsidR="0070522A" w:rsidRPr="0070522A" w:rsidRDefault="0070522A" w:rsidP="0070522A">
      <w:pPr>
        <w:ind w:left="112"/>
        <w:jc w:val="both"/>
        <w:rPr>
          <w:rFonts w:ascii="Palatino Linotype" w:hAnsi="Palatino Linotype" w:cs="Arial"/>
          <w:b/>
          <w:bCs/>
        </w:rPr>
      </w:pPr>
    </w:p>
    <w:p w14:paraId="6897BD6D" w14:textId="77777777" w:rsidR="0070522A" w:rsidRPr="0070522A" w:rsidRDefault="0070522A" w:rsidP="0070522A">
      <w:pPr>
        <w:ind w:left="112"/>
        <w:jc w:val="both"/>
        <w:rPr>
          <w:rFonts w:ascii="Palatino Linotype" w:hAnsi="Palatino Linotype" w:cs="Arial"/>
          <w:b/>
          <w:bCs/>
        </w:rPr>
      </w:pPr>
    </w:p>
    <w:p w14:paraId="204ADAC3" w14:textId="77777777" w:rsidR="0070522A" w:rsidRPr="0070522A" w:rsidRDefault="0070522A" w:rsidP="0070522A">
      <w:pPr>
        <w:ind w:left="112"/>
        <w:jc w:val="both"/>
        <w:rPr>
          <w:rFonts w:ascii="Palatino Linotype" w:hAnsi="Palatino Linotype" w:cs="Arial"/>
          <w:b/>
          <w:bCs/>
        </w:rPr>
      </w:pPr>
    </w:p>
    <w:p w14:paraId="72B73CBC" w14:textId="77777777" w:rsidR="0070522A" w:rsidRPr="0070522A" w:rsidRDefault="0070522A" w:rsidP="0070522A">
      <w:pPr>
        <w:ind w:left="112"/>
        <w:jc w:val="both"/>
        <w:rPr>
          <w:rFonts w:ascii="Palatino Linotype" w:hAnsi="Palatino Linotype" w:cs="Arial"/>
          <w:b/>
          <w:bCs/>
        </w:rPr>
      </w:pPr>
    </w:p>
    <w:p w14:paraId="7AA1E697" w14:textId="77777777" w:rsidR="0070522A" w:rsidRPr="0070522A" w:rsidRDefault="0070522A" w:rsidP="0070522A">
      <w:pPr>
        <w:ind w:left="112"/>
        <w:jc w:val="both"/>
        <w:rPr>
          <w:rFonts w:ascii="Palatino Linotype" w:hAnsi="Palatino Linotype" w:cs="Arial"/>
          <w:b/>
          <w:bCs/>
        </w:rPr>
      </w:pPr>
    </w:p>
    <w:p w14:paraId="30181715" w14:textId="77777777" w:rsidR="0070522A" w:rsidRPr="0070522A" w:rsidRDefault="0070522A" w:rsidP="0070522A">
      <w:pPr>
        <w:jc w:val="both"/>
        <w:rPr>
          <w:rFonts w:ascii="Palatino Linotype" w:hAnsi="Palatino Linotype" w:cs="Arial"/>
          <w:b/>
          <w:bCs/>
        </w:rPr>
      </w:pPr>
    </w:p>
    <w:p w14:paraId="273A4D95" w14:textId="77777777" w:rsidR="0070522A" w:rsidRPr="0070522A" w:rsidRDefault="0070522A" w:rsidP="0070522A">
      <w:pPr>
        <w:ind w:left="112"/>
        <w:jc w:val="both"/>
        <w:rPr>
          <w:rFonts w:ascii="Palatino Linotype" w:hAnsi="Palatino Linotype" w:cs="Arial"/>
          <w:b/>
          <w:bCs/>
        </w:rPr>
      </w:pPr>
    </w:p>
    <w:p w14:paraId="02BF1584" w14:textId="77777777" w:rsidR="0070522A" w:rsidRPr="0070522A" w:rsidRDefault="0070522A" w:rsidP="0070522A">
      <w:pPr>
        <w:ind w:left="112"/>
        <w:jc w:val="both"/>
        <w:rPr>
          <w:rFonts w:ascii="Palatino Linotype" w:hAnsi="Palatino Linotype" w:cs="Arial"/>
          <w:b/>
          <w:bCs/>
        </w:rPr>
      </w:pPr>
    </w:p>
    <w:p w14:paraId="77A907E5" w14:textId="77777777" w:rsidR="0070522A" w:rsidRPr="0070522A" w:rsidRDefault="0070522A" w:rsidP="0070522A">
      <w:pPr>
        <w:ind w:left="112"/>
        <w:jc w:val="center"/>
        <w:rPr>
          <w:rFonts w:ascii="Palatino Linotype" w:hAnsi="Palatino Linotype" w:cs="Arial"/>
          <w:b/>
          <w:bCs/>
        </w:rPr>
      </w:pPr>
    </w:p>
    <w:p w14:paraId="0C343E55" w14:textId="77777777" w:rsidR="0070522A" w:rsidRPr="0070522A" w:rsidRDefault="0070522A" w:rsidP="0070522A">
      <w:pPr>
        <w:ind w:left="112"/>
        <w:jc w:val="center"/>
        <w:rPr>
          <w:rFonts w:ascii="Palatino Linotype" w:hAnsi="Palatino Linotype" w:cs="Arial"/>
          <w:b/>
          <w:bCs/>
        </w:rPr>
      </w:pPr>
    </w:p>
    <w:p w14:paraId="4B47F42E" w14:textId="77777777" w:rsidR="0070522A" w:rsidRPr="0070522A" w:rsidRDefault="0070522A" w:rsidP="0070522A">
      <w:pPr>
        <w:ind w:left="112"/>
        <w:jc w:val="center"/>
        <w:rPr>
          <w:rFonts w:ascii="Palatino Linotype" w:hAnsi="Palatino Linotype" w:cs="Arial"/>
          <w:b/>
          <w:bCs/>
        </w:rPr>
      </w:pPr>
    </w:p>
    <w:p w14:paraId="226F767C"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r w:rsidRPr="0070522A">
        <w:rPr>
          <w:rFonts w:ascii="Palatino Linotype" w:hAnsi="Palatino Linotype" w:cs="Arial"/>
          <w:b/>
          <w:bCs/>
          <w:color w:val="auto"/>
          <w:sz w:val="24"/>
          <w:szCs w:val="24"/>
        </w:rPr>
        <w:t>LEI DE DIRETRIZES ORÇAMENTÁRIAS 2023</w:t>
      </w:r>
    </w:p>
    <w:p w14:paraId="29212A7F"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p>
    <w:p w14:paraId="78680D7E" w14:textId="77777777" w:rsidR="0070522A" w:rsidRPr="0070522A" w:rsidRDefault="0070522A" w:rsidP="0070522A">
      <w:pPr>
        <w:pStyle w:val="Ttulo1"/>
        <w:spacing w:before="97"/>
        <w:ind w:left="112"/>
        <w:jc w:val="center"/>
        <w:rPr>
          <w:rFonts w:ascii="Palatino Linotype" w:hAnsi="Palatino Linotype" w:cs="Arial"/>
          <w:b/>
          <w:bCs/>
          <w:color w:val="auto"/>
          <w:sz w:val="24"/>
          <w:szCs w:val="24"/>
        </w:rPr>
      </w:pPr>
      <w:r w:rsidRPr="0070522A">
        <w:rPr>
          <w:rFonts w:ascii="Palatino Linotype" w:hAnsi="Palatino Linotype" w:cs="Arial"/>
          <w:b/>
          <w:bCs/>
          <w:color w:val="auto"/>
          <w:sz w:val="24"/>
          <w:szCs w:val="24"/>
        </w:rPr>
        <w:t>ANEXO II</w:t>
      </w:r>
    </w:p>
    <w:p w14:paraId="4ADAA64A" w14:textId="77777777" w:rsidR="0070522A" w:rsidRPr="0070522A" w:rsidRDefault="0070522A" w:rsidP="0070522A">
      <w:pPr>
        <w:pStyle w:val="Ttulo1"/>
        <w:spacing w:before="97"/>
        <w:ind w:left="112"/>
        <w:rPr>
          <w:rFonts w:ascii="Palatino Linotype" w:hAnsi="Palatino Linotype" w:cs="Arial"/>
          <w:color w:val="auto"/>
          <w:sz w:val="24"/>
          <w:szCs w:val="24"/>
        </w:rPr>
      </w:pPr>
    </w:p>
    <w:p w14:paraId="412A471D" w14:textId="77777777" w:rsidR="0070522A" w:rsidRPr="0070522A" w:rsidRDefault="0070522A" w:rsidP="0070522A">
      <w:pPr>
        <w:pStyle w:val="Ttulo1"/>
        <w:ind w:left="112"/>
        <w:rPr>
          <w:rFonts w:ascii="Palatino Linotype" w:hAnsi="Palatino Linotype" w:cs="Arial"/>
          <w:color w:val="auto"/>
          <w:sz w:val="24"/>
          <w:szCs w:val="24"/>
        </w:rPr>
      </w:pPr>
    </w:p>
    <w:tbl>
      <w:tblPr>
        <w:tblW w:w="10796" w:type="dxa"/>
        <w:jc w:val="center"/>
        <w:tblCellMar>
          <w:left w:w="70" w:type="dxa"/>
          <w:right w:w="70" w:type="dxa"/>
        </w:tblCellMar>
        <w:tblLook w:val="04A0" w:firstRow="1" w:lastRow="0" w:firstColumn="1" w:lastColumn="0" w:noHBand="0" w:noVBand="1"/>
      </w:tblPr>
      <w:tblGrid>
        <w:gridCol w:w="10796"/>
      </w:tblGrid>
      <w:tr w:rsidR="0070522A" w:rsidRPr="0070522A" w14:paraId="5823B4E1" w14:textId="77777777" w:rsidTr="003B7760">
        <w:trPr>
          <w:trHeight w:val="257"/>
          <w:jc w:val="center"/>
        </w:trPr>
        <w:tc>
          <w:tcPr>
            <w:tcW w:w="10796" w:type="dxa"/>
            <w:tcBorders>
              <w:top w:val="single" w:sz="4" w:space="0" w:color="FFFFFF"/>
              <w:left w:val="single" w:sz="4" w:space="0" w:color="FFFFFF"/>
              <w:bottom w:val="single" w:sz="4" w:space="0" w:color="FFFFFF"/>
              <w:right w:val="single" w:sz="4" w:space="0" w:color="FFFFFF"/>
            </w:tcBorders>
            <w:noWrap/>
            <w:vAlign w:val="bottom"/>
            <w:hideMark/>
          </w:tcPr>
          <w:p w14:paraId="0DF70266" w14:textId="77777777" w:rsidR="0070522A" w:rsidRPr="0070522A" w:rsidRDefault="0070522A" w:rsidP="003B7760">
            <w:pPr>
              <w:spacing w:line="256" w:lineRule="auto"/>
              <w:jc w:val="center"/>
              <w:rPr>
                <w:rFonts w:ascii="Palatino Linotype" w:hAnsi="Palatino Linotype" w:cs="Arial"/>
                <w:b/>
                <w:bCs/>
              </w:rPr>
            </w:pPr>
            <w:r w:rsidRPr="0070522A">
              <w:rPr>
                <w:rFonts w:ascii="Palatino Linotype" w:hAnsi="Palatino Linotype" w:cs="Arial"/>
                <w:b/>
                <w:bCs/>
              </w:rPr>
              <w:t>METAS FISCAIS ANUAIS</w:t>
            </w:r>
          </w:p>
        </w:tc>
      </w:tr>
      <w:tr w:rsidR="0070522A" w:rsidRPr="0070522A" w14:paraId="450C2C0F" w14:textId="77777777" w:rsidTr="003B7760">
        <w:trPr>
          <w:trHeight w:val="257"/>
          <w:jc w:val="center"/>
        </w:trPr>
        <w:tc>
          <w:tcPr>
            <w:tcW w:w="10796" w:type="dxa"/>
            <w:tcBorders>
              <w:top w:val="single" w:sz="4" w:space="0" w:color="FFFFFF"/>
              <w:left w:val="single" w:sz="4" w:space="0" w:color="FFFFFF"/>
              <w:bottom w:val="single" w:sz="4" w:space="0" w:color="FFFFFF"/>
              <w:right w:val="single" w:sz="4" w:space="0" w:color="FFFFFF"/>
            </w:tcBorders>
            <w:noWrap/>
            <w:vAlign w:val="center"/>
            <w:hideMark/>
          </w:tcPr>
          <w:p w14:paraId="6CDF13EC" w14:textId="77777777" w:rsidR="0070522A" w:rsidRPr="0070522A" w:rsidRDefault="0070522A" w:rsidP="003B7760">
            <w:pPr>
              <w:jc w:val="center"/>
              <w:rPr>
                <w:rFonts w:ascii="Palatino Linotype" w:hAnsi="Palatino Linotype" w:cs="Arial"/>
                <w:b/>
                <w:bCs/>
              </w:rPr>
            </w:pPr>
          </w:p>
        </w:tc>
      </w:tr>
      <w:tr w:rsidR="0070522A" w:rsidRPr="0070522A" w14:paraId="371D697C" w14:textId="77777777" w:rsidTr="003B7760">
        <w:trPr>
          <w:trHeight w:val="257"/>
          <w:jc w:val="center"/>
        </w:trPr>
        <w:tc>
          <w:tcPr>
            <w:tcW w:w="10796" w:type="dxa"/>
            <w:tcBorders>
              <w:top w:val="single" w:sz="4" w:space="0" w:color="FFFFFF"/>
              <w:left w:val="single" w:sz="4" w:space="0" w:color="FFFFFF"/>
              <w:bottom w:val="single" w:sz="4" w:space="0" w:color="FFFFFF"/>
              <w:right w:val="single" w:sz="4" w:space="0" w:color="FFFFFF"/>
            </w:tcBorders>
            <w:noWrap/>
            <w:vAlign w:val="bottom"/>
            <w:hideMark/>
          </w:tcPr>
          <w:p w14:paraId="7F0327DE" w14:textId="77777777" w:rsidR="0070522A" w:rsidRPr="0070522A" w:rsidRDefault="0070522A" w:rsidP="003B7760">
            <w:pPr>
              <w:spacing w:line="256" w:lineRule="auto"/>
              <w:jc w:val="center"/>
              <w:rPr>
                <w:rFonts w:ascii="Palatino Linotype" w:hAnsi="Palatino Linotype" w:cs="Arial"/>
                <w:b/>
                <w:bCs/>
              </w:rPr>
            </w:pPr>
            <w:r w:rsidRPr="0070522A">
              <w:rPr>
                <w:rFonts w:ascii="Palatino Linotype" w:hAnsi="Palatino Linotype" w:cs="Arial"/>
                <w:b/>
                <w:bCs/>
              </w:rPr>
              <w:t>2023</w:t>
            </w:r>
          </w:p>
        </w:tc>
      </w:tr>
    </w:tbl>
    <w:p w14:paraId="7E647B02" w14:textId="77777777" w:rsidR="0070522A" w:rsidRPr="0070522A" w:rsidRDefault="0070522A" w:rsidP="0070522A">
      <w:pPr>
        <w:jc w:val="both"/>
        <w:rPr>
          <w:rFonts w:ascii="Palatino Linotype" w:hAnsi="Palatino Linotype" w:cs="Arial"/>
          <w:b/>
        </w:rPr>
      </w:pPr>
    </w:p>
    <w:p w14:paraId="6FCFE812" w14:textId="77777777" w:rsidR="0070522A" w:rsidRPr="0070522A" w:rsidRDefault="0070522A" w:rsidP="0070522A">
      <w:pPr>
        <w:pStyle w:val="Recuodecorpodetexto"/>
        <w:tabs>
          <w:tab w:val="left" w:pos="0"/>
        </w:tabs>
        <w:ind w:left="0" w:firstLine="709"/>
        <w:jc w:val="both"/>
        <w:rPr>
          <w:rFonts w:ascii="Palatino Linotype" w:hAnsi="Palatino Linotype" w:cs="Arial"/>
          <w:iCs/>
        </w:rPr>
      </w:pPr>
      <w:r w:rsidRPr="0070522A">
        <w:rPr>
          <w:rFonts w:ascii="Palatino Linotype" w:hAnsi="Palatino Linotype" w:cs="Arial"/>
          <w:iCs/>
        </w:rPr>
        <w:t>Para fins de cumprimento do art. 4º, § 1º, da Lei Complementar nº 101, de 4 de maio de 2000, que estabelece normas de finanças públicas voltadas para a responsabilidade na gestão fiscal, são estabelecidas as metas anuais da Administração Municipal, em valores correntes e constantes, para as receitas, as despesas e para o resultado primário para o triênio 2023 – 2025, conforme quadros anexos:</w:t>
      </w:r>
    </w:p>
    <w:p w14:paraId="1606ED8F" w14:textId="77777777" w:rsidR="0070522A" w:rsidRPr="0070522A" w:rsidRDefault="0070522A" w:rsidP="0070522A">
      <w:pPr>
        <w:pStyle w:val="Recuodecorpodetexto"/>
        <w:ind w:left="0"/>
        <w:jc w:val="both"/>
        <w:rPr>
          <w:rFonts w:ascii="Palatino Linotype" w:hAnsi="Palatino Linotype" w:cs="Arial"/>
          <w:iCs/>
        </w:rPr>
      </w:pPr>
    </w:p>
    <w:p w14:paraId="22D43389"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1) Demonstrativo I - Metas Anuais – período 2023-2025;</w:t>
      </w:r>
    </w:p>
    <w:p w14:paraId="41C9C52B"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2) Demonstrativo II - Avaliação do Cumprimento das Metas Fiscais do Exercício Anterior - 2021;</w:t>
      </w:r>
    </w:p>
    <w:p w14:paraId="749DD783"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3) Demonstrativo III - Metas Fiscais Atuais comparadas com as Metas dos 3 Exercícios Anteriores;</w:t>
      </w:r>
    </w:p>
    <w:p w14:paraId="6661B513"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4) Demonstrativo IV - Evolução do Patrimônio Líquido;</w:t>
      </w:r>
    </w:p>
    <w:p w14:paraId="4D6C76BD"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5) Demonstrativo V - Origem e Aplicação de Recursos com Alienação de Ativos;</w:t>
      </w:r>
    </w:p>
    <w:p w14:paraId="55140C85" w14:textId="77777777" w:rsidR="0070522A" w:rsidRPr="0070522A" w:rsidRDefault="0070522A" w:rsidP="0070522A">
      <w:pPr>
        <w:pStyle w:val="Default"/>
        <w:jc w:val="both"/>
        <w:rPr>
          <w:rFonts w:ascii="Palatino Linotype" w:eastAsiaTheme="minorHAnsi" w:hAnsi="Palatino Linotype" w:cs="Arial"/>
          <w:bCs/>
          <w:color w:val="auto"/>
          <w:lang w:eastAsia="en-US"/>
        </w:rPr>
      </w:pPr>
      <w:r w:rsidRPr="0070522A">
        <w:rPr>
          <w:rFonts w:ascii="Palatino Linotype" w:hAnsi="Palatino Linotype" w:cs="Arial"/>
          <w:iCs/>
          <w:color w:val="auto"/>
        </w:rPr>
        <w:t xml:space="preserve">6) Demonstrativo VI – </w:t>
      </w:r>
      <w:r w:rsidRPr="0070522A">
        <w:rPr>
          <w:rFonts w:ascii="Palatino Linotype" w:eastAsiaTheme="minorHAnsi" w:hAnsi="Palatino Linotype" w:cs="Arial"/>
          <w:bCs/>
          <w:color w:val="auto"/>
          <w:lang w:eastAsia="en-US"/>
        </w:rPr>
        <w:t>Avaliação da Situação Financeira e Atuarial do RPPS;</w:t>
      </w:r>
    </w:p>
    <w:p w14:paraId="7D313EAD" w14:textId="77777777" w:rsidR="0070522A" w:rsidRPr="0070522A" w:rsidRDefault="0070522A" w:rsidP="0070522A">
      <w:pPr>
        <w:pStyle w:val="Default"/>
        <w:jc w:val="both"/>
        <w:rPr>
          <w:rFonts w:ascii="Palatino Linotype" w:eastAsiaTheme="minorHAnsi" w:hAnsi="Palatino Linotype" w:cs="Arial"/>
          <w:color w:val="auto"/>
          <w:lang w:eastAsia="en-US"/>
        </w:rPr>
      </w:pPr>
    </w:p>
    <w:p w14:paraId="653E766B"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7) Demonstrativo VII – Estimativa e Compensação da Renúncia de Receita;</w:t>
      </w:r>
    </w:p>
    <w:p w14:paraId="2851E594"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iCs/>
        </w:rPr>
        <w:t>8) Demonstrativo VIII – Margem de Expansão das Despesas Obrigatórias de Caráter Continuado.</w:t>
      </w:r>
    </w:p>
    <w:p w14:paraId="68E11829" w14:textId="77777777" w:rsidR="0070522A" w:rsidRPr="0070522A" w:rsidRDefault="0070522A" w:rsidP="0070522A">
      <w:pPr>
        <w:pStyle w:val="Recuodecorpodetexto"/>
        <w:ind w:left="0"/>
        <w:jc w:val="both"/>
        <w:rPr>
          <w:rFonts w:ascii="Palatino Linotype" w:hAnsi="Palatino Linotype" w:cs="Arial"/>
          <w:iCs/>
        </w:rPr>
      </w:pPr>
    </w:p>
    <w:p w14:paraId="1E68BBFB" w14:textId="77777777" w:rsidR="0070522A" w:rsidRPr="0070522A" w:rsidRDefault="0070522A" w:rsidP="0070522A">
      <w:pPr>
        <w:pStyle w:val="Recuodecorpodetexto"/>
        <w:ind w:left="0" w:firstLine="567"/>
        <w:jc w:val="both"/>
        <w:rPr>
          <w:rFonts w:ascii="Palatino Linotype" w:hAnsi="Palatino Linotype" w:cs="Arial"/>
          <w:iCs/>
        </w:rPr>
      </w:pPr>
      <w:r w:rsidRPr="0070522A">
        <w:rPr>
          <w:rFonts w:ascii="Palatino Linotype" w:hAnsi="Palatino Linotype" w:cs="Arial"/>
          <w:iCs/>
        </w:rPr>
        <w:tab/>
        <w:t xml:space="preserve">Entende-se por Valores Correntes - os valores estimados com a inflação projetada para o triênio 2023-2025, e como Valores Constantes - os valores estimados com a exclusão da inflação. </w:t>
      </w:r>
    </w:p>
    <w:p w14:paraId="330052EB" w14:textId="77777777" w:rsidR="0070522A" w:rsidRPr="0070522A" w:rsidRDefault="0070522A" w:rsidP="0070522A">
      <w:pPr>
        <w:pStyle w:val="Inciso"/>
        <w:spacing w:after="0"/>
        <w:ind w:firstLine="0"/>
        <w:rPr>
          <w:rFonts w:ascii="Palatino Linotype" w:hAnsi="Palatino Linotype"/>
          <w:b/>
          <w:sz w:val="24"/>
        </w:rPr>
      </w:pPr>
      <w:r w:rsidRPr="0070522A">
        <w:rPr>
          <w:rFonts w:ascii="Palatino Linotype" w:hAnsi="Palatino Linotype"/>
          <w:iCs/>
          <w:sz w:val="24"/>
        </w:rPr>
        <w:tab/>
      </w:r>
      <w:r w:rsidRPr="0070522A">
        <w:rPr>
          <w:rFonts w:ascii="Palatino Linotype" w:hAnsi="Palatino Linotype"/>
          <w:sz w:val="24"/>
        </w:rPr>
        <w:t xml:space="preserve">Para o cálculo das Metas Fiscais em Valores Correntes (inflacionados) e Valores Constantes, quer dizer, a preços reais sem inflação, foi utilizada a projeção da inflação medida pelo </w:t>
      </w:r>
      <w:r w:rsidRPr="0070522A">
        <w:rPr>
          <w:rFonts w:ascii="Palatino Linotype" w:hAnsi="Palatino Linotype"/>
          <w:b/>
          <w:sz w:val="24"/>
        </w:rPr>
        <w:t>IPCA</w:t>
      </w:r>
      <w:r w:rsidRPr="0070522A">
        <w:rPr>
          <w:rFonts w:ascii="Palatino Linotype" w:hAnsi="Palatino Linotype"/>
          <w:sz w:val="24"/>
        </w:rPr>
        <w:t xml:space="preserve"> do </w:t>
      </w:r>
      <w:r w:rsidRPr="0070522A">
        <w:rPr>
          <w:rFonts w:ascii="Palatino Linotype" w:hAnsi="Palatino Linotype"/>
          <w:b/>
          <w:sz w:val="24"/>
        </w:rPr>
        <w:t>IBGE.</w:t>
      </w:r>
    </w:p>
    <w:p w14:paraId="2E79C6D5" w14:textId="77777777" w:rsidR="0070522A" w:rsidRPr="0070522A" w:rsidRDefault="0070522A" w:rsidP="0070522A">
      <w:pPr>
        <w:pStyle w:val="Inciso"/>
        <w:spacing w:after="0"/>
        <w:ind w:firstLine="0"/>
        <w:rPr>
          <w:rFonts w:ascii="Palatino Linotype" w:hAnsi="Palatino Linotype"/>
          <w:sz w:val="24"/>
        </w:rPr>
      </w:pPr>
    </w:p>
    <w:p w14:paraId="10CD9B78" w14:textId="77777777" w:rsidR="0070522A" w:rsidRPr="0070522A" w:rsidRDefault="0070522A" w:rsidP="0070522A">
      <w:pPr>
        <w:pStyle w:val="Default"/>
        <w:jc w:val="both"/>
        <w:rPr>
          <w:rFonts w:ascii="Palatino Linotype" w:hAnsi="Palatino Linotype" w:cs="Arial"/>
          <w:color w:val="auto"/>
        </w:rPr>
      </w:pPr>
      <w:r w:rsidRPr="0070522A">
        <w:rPr>
          <w:rFonts w:ascii="Palatino Linotype" w:hAnsi="Palatino Linotype" w:cs="Arial"/>
          <w:b/>
          <w:color w:val="auto"/>
        </w:rPr>
        <w:tab/>
      </w:r>
      <w:r w:rsidRPr="0070522A">
        <w:rPr>
          <w:rFonts w:ascii="Palatino Linotype" w:hAnsi="Palatino Linotype" w:cs="Arial"/>
          <w:color w:val="auto"/>
        </w:rPr>
        <w:t xml:space="preserve">As metas foram elaboradas de acordo com a metodologia estabelecida pelo Governo Federal, bem como, conforme critérios e medidas constantes no </w:t>
      </w:r>
      <w:r w:rsidRPr="0070522A">
        <w:rPr>
          <w:rFonts w:ascii="Palatino Linotype" w:hAnsi="Palatino Linotype" w:cs="Arial"/>
          <w:b/>
          <w:color w:val="auto"/>
        </w:rPr>
        <w:t>Manual de Técnico de Demonstrativos Fiscais, Parte I, Anexo de Riscos Fiscais e Parte 2, Anexo de Metas Fiscais,</w:t>
      </w:r>
      <w:r w:rsidRPr="0070522A">
        <w:rPr>
          <w:rFonts w:ascii="Palatino Linotype" w:hAnsi="Palatino Linotype" w:cs="Arial"/>
          <w:color w:val="auto"/>
        </w:rPr>
        <w:t xml:space="preserve"> aprovado pela Secretaria do Tesouro Nacional, através da Portaria STN n</w:t>
      </w:r>
      <w:r w:rsidRPr="0070522A">
        <w:rPr>
          <w:rFonts w:ascii="Palatino Linotype" w:hAnsi="Palatino Linotype" w:cs="Arial"/>
          <w:color w:val="auto"/>
          <w:vertAlign w:val="superscript"/>
        </w:rPr>
        <w:t>o</w:t>
      </w:r>
      <w:r w:rsidRPr="0070522A">
        <w:rPr>
          <w:rFonts w:ascii="Palatino Linotype" w:hAnsi="Palatino Linotype" w:cs="Arial"/>
          <w:b/>
          <w:bCs/>
          <w:color w:val="auto"/>
        </w:rPr>
        <w:t xml:space="preserve"> </w:t>
      </w:r>
      <w:r w:rsidRPr="0070522A">
        <w:rPr>
          <w:rFonts w:ascii="Palatino Linotype" w:eastAsiaTheme="minorHAnsi" w:hAnsi="Palatino Linotype" w:cs="Arial"/>
          <w:b/>
          <w:bCs/>
          <w:color w:val="auto"/>
          <w:lang w:eastAsia="en-US"/>
        </w:rPr>
        <w:t>1.130, de 04 de novembro de 2021</w:t>
      </w:r>
      <w:r w:rsidRPr="0070522A">
        <w:rPr>
          <w:rFonts w:ascii="Palatino Linotype" w:hAnsi="Palatino Linotype" w:cs="Arial"/>
          <w:bCs/>
          <w:color w:val="auto"/>
        </w:rPr>
        <w:t xml:space="preserve">, que </w:t>
      </w:r>
      <w:r w:rsidRPr="0070522A">
        <w:rPr>
          <w:rFonts w:ascii="Palatino Linotype" w:hAnsi="Palatino Linotype" w:cs="Arial"/>
          <w:color w:val="auto"/>
        </w:rPr>
        <w:t>Aprova a 12ª edição do Manual de Demonstrativos Fiscais – MDF</w:t>
      </w:r>
      <w:r w:rsidRPr="0070522A">
        <w:rPr>
          <w:rStyle w:val="Refdenotaderodap"/>
          <w:rFonts w:ascii="Palatino Linotype" w:hAnsi="Palatino Linotype" w:cs="Arial"/>
          <w:color w:val="auto"/>
        </w:rPr>
        <w:footnoteReference w:id="1"/>
      </w:r>
      <w:r w:rsidRPr="0070522A">
        <w:rPr>
          <w:rFonts w:ascii="Palatino Linotype" w:hAnsi="Palatino Linotype" w:cs="Arial"/>
          <w:color w:val="auto"/>
        </w:rPr>
        <w:t>, tendo sido utilizados os seguintes parâmetros para as estimativas da receita e despesas:</w:t>
      </w:r>
    </w:p>
    <w:p w14:paraId="3AD20603" w14:textId="77777777" w:rsidR="0070522A" w:rsidRPr="0070522A" w:rsidRDefault="0070522A" w:rsidP="0070522A">
      <w:pPr>
        <w:pStyle w:val="Default"/>
        <w:jc w:val="both"/>
        <w:rPr>
          <w:rFonts w:ascii="Palatino Linotype" w:hAnsi="Palatino Linotype" w:cs="Arial"/>
          <w:color w:val="auto"/>
        </w:rPr>
      </w:pPr>
    </w:p>
    <w:p w14:paraId="1FDE2B6B" w14:textId="75E63524" w:rsidR="0070522A" w:rsidRPr="0070522A" w:rsidRDefault="0070522A" w:rsidP="0070522A">
      <w:pPr>
        <w:pStyle w:val="Default"/>
        <w:jc w:val="both"/>
        <w:rPr>
          <w:rFonts w:ascii="Palatino Linotype" w:hAnsi="Palatino Linotype" w:cs="Arial"/>
          <w:color w:val="auto"/>
        </w:rPr>
      </w:pPr>
    </w:p>
    <w:p w14:paraId="29347772" w14:textId="77777777" w:rsidR="0070522A" w:rsidRPr="0070522A" w:rsidRDefault="0070522A" w:rsidP="0070522A">
      <w:pPr>
        <w:pStyle w:val="Default"/>
        <w:jc w:val="both"/>
        <w:rPr>
          <w:rFonts w:ascii="Palatino Linotype" w:hAnsi="Palatino Linotype" w:cs="Arial"/>
          <w:color w:val="auto"/>
        </w:rPr>
      </w:pPr>
    </w:p>
    <w:p w14:paraId="5CD72681" w14:textId="77777777" w:rsidR="0070522A" w:rsidRPr="0070522A" w:rsidRDefault="0070522A" w:rsidP="0070522A">
      <w:pPr>
        <w:pStyle w:val="Inciso"/>
        <w:spacing w:after="0"/>
        <w:ind w:firstLine="567"/>
        <w:rPr>
          <w:rFonts w:ascii="Palatino Linotype" w:hAnsi="Palatino Linotype"/>
          <w:sz w:val="24"/>
        </w:rPr>
      </w:pPr>
      <w:r w:rsidRPr="0070522A">
        <w:rPr>
          <w:rFonts w:ascii="Palatino Linotype" w:hAnsi="Palatino Linotype"/>
          <w:sz w:val="24"/>
        </w:rPr>
        <w:t xml:space="preserve">De conformidade com o citado MDF, as Metas Fiscais representam os resultados a serem alcançados para variáveis fiscais visando atingir os objetivos desejados, e refletem a conexão entre o planejamento, a elaboração e a execução do orçamento. </w:t>
      </w:r>
    </w:p>
    <w:p w14:paraId="44ED17C0" w14:textId="77777777" w:rsidR="0070522A" w:rsidRPr="0070522A" w:rsidRDefault="0070522A" w:rsidP="0070522A">
      <w:pPr>
        <w:pStyle w:val="Recuodecorpodetexto"/>
        <w:ind w:left="0"/>
        <w:jc w:val="both"/>
        <w:rPr>
          <w:rFonts w:ascii="Palatino Linotype" w:hAnsi="Palatino Linotype" w:cs="Arial"/>
          <w:iCs/>
        </w:rPr>
      </w:pPr>
    </w:p>
    <w:p w14:paraId="56B50860" w14:textId="77777777" w:rsidR="0070522A" w:rsidRPr="0070522A" w:rsidRDefault="0070522A" w:rsidP="0070522A">
      <w:pPr>
        <w:pStyle w:val="Recuodecorpodetexto"/>
        <w:ind w:left="0" w:firstLine="567"/>
        <w:jc w:val="both"/>
        <w:rPr>
          <w:rFonts w:ascii="Palatino Linotype" w:hAnsi="Palatino Linotype" w:cs="Arial"/>
          <w:iCs/>
        </w:rPr>
      </w:pPr>
      <w:r w:rsidRPr="0070522A">
        <w:rPr>
          <w:rFonts w:ascii="Palatino Linotype" w:hAnsi="Palatino Linotype" w:cs="Arial"/>
          <w:iCs/>
        </w:rPr>
        <w:t>Foi adotada a seguinte memória de cálculo:</w:t>
      </w:r>
    </w:p>
    <w:p w14:paraId="7A0F2CBA" w14:textId="77777777" w:rsidR="0070522A" w:rsidRPr="0070522A" w:rsidRDefault="0070522A" w:rsidP="0070522A">
      <w:pPr>
        <w:pStyle w:val="Recuodecorpodetexto"/>
        <w:ind w:left="0" w:firstLine="567"/>
        <w:jc w:val="both"/>
        <w:rPr>
          <w:rFonts w:ascii="Palatino Linotype" w:hAnsi="Palatino Linotype" w:cs="Arial"/>
          <w:iCs/>
        </w:rPr>
      </w:pPr>
    </w:p>
    <w:p w14:paraId="3333E451"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Receitas Primárias:</w:t>
      </w:r>
      <w:r w:rsidRPr="0070522A">
        <w:rPr>
          <w:rFonts w:ascii="Palatino Linotype" w:hAnsi="Palatino Linotype" w:cs="Arial"/>
          <w:iCs/>
        </w:rPr>
        <w:t xml:space="preserve"> foram deduzidas as receitas financeiras: (rendimentos de aplicações financeiras, alienações de bens e Operação de Crédito);</w:t>
      </w:r>
    </w:p>
    <w:p w14:paraId="68CABDEE"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Despesas Primárias:</w:t>
      </w:r>
      <w:r w:rsidRPr="0070522A">
        <w:rPr>
          <w:rFonts w:ascii="Palatino Linotype" w:hAnsi="Palatino Linotype" w:cs="Arial"/>
          <w:iCs/>
        </w:rPr>
        <w:t xml:space="preserve"> foi deduzido do total da despesa o valor da Amortização e dos Encargos da Dívida;</w:t>
      </w:r>
    </w:p>
    <w:p w14:paraId="44E550BE"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Resultado Primário:</w:t>
      </w:r>
      <w:r w:rsidRPr="0070522A">
        <w:rPr>
          <w:rFonts w:ascii="Palatino Linotype" w:hAnsi="Palatino Linotype" w:cs="Arial"/>
          <w:iCs/>
        </w:rPr>
        <w:t xml:space="preserve">  é a economia da receita que o Município faz para honrar os compromissos da Dívida Pública: foi obtido do confronto entre a Receita Primária e a Despesa Primária;</w:t>
      </w:r>
    </w:p>
    <w:p w14:paraId="2C57577A"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Resultado Nominal:</w:t>
      </w:r>
      <w:r w:rsidRPr="0070522A">
        <w:rPr>
          <w:rFonts w:ascii="Palatino Linotype" w:hAnsi="Palatino Linotype" w:cs="Arial"/>
          <w:iCs/>
        </w:rPr>
        <w:t xml:space="preserve"> indica o esforço que a Administração Municipal fará para a redução da Dívida Consolidada no triênio de 2022-2023, foi obtido pela subtração do Saldo da Dívida Consolidada no final do período seguinte, pelo saldo da Dívida Consolidada no período anterior. Por isso será sempre representado por um valor negativo.</w:t>
      </w:r>
    </w:p>
    <w:p w14:paraId="2DC39D9E"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Montante da Dívida Consolidada:</w:t>
      </w:r>
      <w:r w:rsidRPr="0070522A">
        <w:rPr>
          <w:rFonts w:ascii="Palatino Linotype" w:hAnsi="Palatino Linotype" w:cs="Arial"/>
          <w:iCs/>
        </w:rPr>
        <w:t xml:space="preserve">  corresponde aos valores projetados da dívida de longo prazo contratada pelo Município, e se refere aos parcelamentos diversos, conforme Anexo 16 do Balanço anual. A meta estabelecida corresponde aos valores pactuados nos respectivos contratos.</w:t>
      </w:r>
    </w:p>
    <w:p w14:paraId="44827603" w14:textId="77777777" w:rsidR="0070522A" w:rsidRPr="0070522A" w:rsidRDefault="0070522A" w:rsidP="0070522A">
      <w:pPr>
        <w:pStyle w:val="Recuodecorpodetexto"/>
        <w:ind w:left="0"/>
        <w:jc w:val="both"/>
        <w:rPr>
          <w:rFonts w:ascii="Palatino Linotype" w:hAnsi="Palatino Linotype" w:cs="Arial"/>
          <w:iCs/>
        </w:rPr>
      </w:pPr>
      <w:r w:rsidRPr="0070522A">
        <w:rPr>
          <w:rFonts w:ascii="Palatino Linotype" w:hAnsi="Palatino Linotype" w:cs="Arial"/>
          <w:b/>
          <w:iCs/>
        </w:rPr>
        <w:t>Dívida Consolidada Líquida:</w:t>
      </w:r>
      <w:r w:rsidRPr="0070522A">
        <w:rPr>
          <w:rFonts w:ascii="Palatino Linotype" w:hAnsi="Palatino Linotype" w:cs="Arial"/>
          <w:iCs/>
        </w:rPr>
        <w:t xml:space="preserve"> corresponde a Dívida Consolidada deduzidas as disponibilidades de Caixa, liquidas de Restos a Pagar Processados: partiu-se do princípio do equilíbrio orçamentário, no qual, a Receita Prevista será igual a Despesa Fixada. Portanto, a meta da Dívida Consolidada Liquida será exatamente igual ao valor da Dívida Consolidada.</w:t>
      </w:r>
    </w:p>
    <w:p w14:paraId="5BF63318" w14:textId="77777777" w:rsidR="0070522A" w:rsidRPr="0070522A" w:rsidRDefault="0070522A" w:rsidP="0070522A">
      <w:pPr>
        <w:pStyle w:val="Recuodecorpodetexto"/>
        <w:ind w:left="0"/>
        <w:jc w:val="both"/>
        <w:rPr>
          <w:rFonts w:ascii="Palatino Linotype" w:hAnsi="Palatino Linotype" w:cs="Arial"/>
          <w:iCs/>
        </w:rPr>
      </w:pPr>
    </w:p>
    <w:p w14:paraId="0F13100A" w14:textId="77777777" w:rsidR="0070522A" w:rsidRPr="0070522A" w:rsidRDefault="0070522A" w:rsidP="0070522A">
      <w:pPr>
        <w:pStyle w:val="Recuodecorpodetexto"/>
        <w:ind w:left="0" w:firstLine="567"/>
        <w:jc w:val="both"/>
        <w:rPr>
          <w:rFonts w:ascii="Palatino Linotype" w:hAnsi="Palatino Linotype" w:cs="Arial"/>
          <w:iCs/>
        </w:rPr>
      </w:pPr>
      <w:r w:rsidRPr="0070522A">
        <w:rPr>
          <w:rFonts w:ascii="Palatino Linotype" w:hAnsi="Palatino Linotype" w:cs="Arial"/>
          <w:iCs/>
        </w:rPr>
        <w:t>Esclarecemos que os valores projetados são meramente referenciais, com base nos parâmetros que reflete o comportamento da economia no início do ano de 2021.</w:t>
      </w:r>
    </w:p>
    <w:p w14:paraId="695B0DD2" w14:textId="77777777" w:rsidR="0070522A" w:rsidRPr="0070522A" w:rsidRDefault="0070522A" w:rsidP="0070522A">
      <w:pPr>
        <w:pStyle w:val="Recuodecorpodetexto"/>
        <w:ind w:left="0"/>
        <w:jc w:val="both"/>
        <w:rPr>
          <w:rFonts w:ascii="Palatino Linotype" w:hAnsi="Palatino Linotype" w:cs="Arial"/>
          <w:iCs/>
        </w:rPr>
      </w:pPr>
    </w:p>
    <w:p w14:paraId="652E2859" w14:textId="77777777" w:rsidR="0070522A" w:rsidRPr="0070522A" w:rsidRDefault="0070522A" w:rsidP="0070522A">
      <w:pPr>
        <w:pStyle w:val="Recuodecorpodetexto"/>
        <w:ind w:left="0" w:firstLine="567"/>
        <w:jc w:val="both"/>
        <w:rPr>
          <w:rFonts w:ascii="Palatino Linotype" w:hAnsi="Palatino Linotype" w:cs="Arial"/>
          <w:iCs/>
        </w:rPr>
      </w:pPr>
      <w:r w:rsidRPr="0070522A">
        <w:rPr>
          <w:rFonts w:ascii="Palatino Linotype" w:hAnsi="Palatino Linotype" w:cs="Arial"/>
          <w:iCs/>
        </w:rPr>
        <w:t>Por este motivo as projeções poderão ser modificadas, mediante Lei específica, caso venha a ocorrer mudanças nas variáveis utilizadas, quando da elaboração do Orçamento 2022.</w:t>
      </w:r>
    </w:p>
    <w:p w14:paraId="36CED039" w14:textId="3C97E74B" w:rsidR="0070522A" w:rsidRPr="0070522A" w:rsidRDefault="0070522A" w:rsidP="0070522A">
      <w:pPr>
        <w:jc w:val="right"/>
        <w:rPr>
          <w:rFonts w:ascii="Palatino Linotype" w:hAnsi="Palatino Linotype" w:cs="Arial"/>
        </w:rPr>
      </w:pPr>
      <w:r>
        <w:rPr>
          <w:rFonts w:ascii="Palatino Linotype" w:hAnsi="Palatino Linotype" w:cs="Arial"/>
        </w:rPr>
        <w:t>Paranatinga</w:t>
      </w:r>
      <w:r w:rsidRPr="0070522A">
        <w:rPr>
          <w:rFonts w:ascii="Palatino Linotype" w:hAnsi="Palatino Linotype" w:cs="Arial"/>
        </w:rPr>
        <w:t xml:space="preserve"> - MT, 30 de maio de 2022.</w:t>
      </w:r>
    </w:p>
    <w:p w14:paraId="3716F825" w14:textId="77777777" w:rsidR="0070522A" w:rsidRPr="0070522A" w:rsidRDefault="0070522A" w:rsidP="0070522A">
      <w:pPr>
        <w:jc w:val="center"/>
        <w:rPr>
          <w:rFonts w:ascii="Palatino Linotype" w:hAnsi="Palatino Linotype" w:cs="Arial"/>
        </w:rPr>
      </w:pPr>
    </w:p>
    <w:p w14:paraId="073A6A54" w14:textId="77777777" w:rsidR="0070522A" w:rsidRPr="0070522A" w:rsidRDefault="0070522A" w:rsidP="0070522A">
      <w:pPr>
        <w:jc w:val="center"/>
        <w:rPr>
          <w:rFonts w:ascii="Palatino Linotype" w:hAnsi="Palatino Linotype" w:cs="Arial"/>
        </w:rPr>
      </w:pPr>
    </w:p>
    <w:p w14:paraId="670DC58C" w14:textId="77777777" w:rsidR="0070522A" w:rsidRPr="0070522A" w:rsidRDefault="0070522A" w:rsidP="0070522A">
      <w:pPr>
        <w:jc w:val="center"/>
        <w:rPr>
          <w:rFonts w:ascii="Palatino Linotype" w:hAnsi="Palatino Linotype" w:cs="Arial"/>
        </w:rPr>
      </w:pPr>
    </w:p>
    <w:p w14:paraId="16606C12" w14:textId="77777777" w:rsidR="0070522A" w:rsidRPr="0070522A" w:rsidRDefault="0070522A" w:rsidP="0070522A">
      <w:pPr>
        <w:jc w:val="center"/>
        <w:rPr>
          <w:rFonts w:ascii="Palatino Linotype" w:hAnsi="Palatino Linotype" w:cs="Arial"/>
        </w:rPr>
      </w:pPr>
    </w:p>
    <w:p w14:paraId="582905BC" w14:textId="77777777" w:rsidR="0070522A" w:rsidRPr="0070522A" w:rsidRDefault="0070522A" w:rsidP="0070522A">
      <w:pPr>
        <w:jc w:val="center"/>
        <w:rPr>
          <w:rFonts w:ascii="Palatino Linotype" w:hAnsi="Palatino Linotype" w:cs="Arial"/>
          <w:b/>
        </w:rPr>
      </w:pPr>
      <w:r w:rsidRPr="0070522A">
        <w:rPr>
          <w:rFonts w:ascii="Palatino Linotype" w:hAnsi="Palatino Linotype" w:cs="Arial"/>
          <w:b/>
        </w:rPr>
        <w:t xml:space="preserve">JOSIMAR MARQUES BARBOSA </w:t>
      </w:r>
    </w:p>
    <w:p w14:paraId="0F87B620" w14:textId="57CFC0EC" w:rsidR="0070522A" w:rsidRPr="0070522A" w:rsidRDefault="0070522A" w:rsidP="0070522A">
      <w:pPr>
        <w:jc w:val="center"/>
        <w:rPr>
          <w:rFonts w:ascii="Palatino Linotype" w:hAnsi="Palatino Linotype" w:cs="Arial"/>
          <w:b/>
        </w:rPr>
      </w:pPr>
      <w:r w:rsidRPr="0070522A">
        <w:rPr>
          <w:rFonts w:ascii="Palatino Linotype" w:hAnsi="Palatino Linotype" w:cs="Arial"/>
          <w:b/>
        </w:rPr>
        <w:t>PREFEITO MUNICIPAL</w:t>
      </w:r>
    </w:p>
    <w:p w14:paraId="6462B154" w14:textId="77777777" w:rsidR="0070522A" w:rsidRPr="0070522A" w:rsidRDefault="0070522A" w:rsidP="0070522A">
      <w:pPr>
        <w:pStyle w:val="Corpodetexto"/>
        <w:rPr>
          <w:rFonts w:ascii="Palatino Linotype" w:hAnsi="Palatino Linotype"/>
          <w:b/>
          <w:color w:val="auto"/>
          <w:sz w:val="24"/>
          <w:szCs w:val="24"/>
        </w:rPr>
      </w:pPr>
    </w:p>
    <w:p w14:paraId="3939DD33" w14:textId="77777777" w:rsidR="0070522A" w:rsidRPr="0070522A" w:rsidRDefault="0070522A" w:rsidP="0070522A">
      <w:pPr>
        <w:rPr>
          <w:rFonts w:ascii="Palatino Linotype" w:hAnsi="Palatino Linotype"/>
        </w:rPr>
      </w:pPr>
    </w:p>
    <w:p w14:paraId="0CEB0068" w14:textId="77777777" w:rsidR="00A87F89" w:rsidRPr="0070522A" w:rsidRDefault="00A87F89" w:rsidP="0070522A">
      <w:pPr>
        <w:rPr>
          <w:rFonts w:ascii="Palatino Linotype" w:hAnsi="Palatino Linotype"/>
        </w:rPr>
      </w:pPr>
    </w:p>
    <w:sectPr w:rsidR="00A87F89" w:rsidRPr="0070522A" w:rsidSect="002029B5">
      <w:headerReference w:type="default" r:id="rId9"/>
      <w:footerReference w:type="default" r:id="rId10"/>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51B71" w14:textId="77777777" w:rsidR="00585077" w:rsidRDefault="00585077" w:rsidP="007F30DE">
      <w:r>
        <w:separator/>
      </w:r>
    </w:p>
  </w:endnote>
  <w:endnote w:type="continuationSeparator" w:id="0">
    <w:p w14:paraId="2DCB8AD4" w14:textId="77777777" w:rsidR="00585077" w:rsidRDefault="00585077" w:rsidP="007F3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charset w:val="00"/>
    <w:family w:val="roman"/>
    <w:pitch w:val="variable"/>
  </w:font>
  <w:font w:name="HG Mincho Light J">
    <w:altName w:val="Times New Roman"/>
    <w:charset w:val="00"/>
    <w:family w:val="auto"/>
    <w:pitch w:val="variable"/>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B581" w14:textId="77777777" w:rsidR="00460740" w:rsidRDefault="00557168" w:rsidP="004607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A0459">
      <w:rPr>
        <w:rStyle w:val="Nmerodepgina"/>
        <w:noProof/>
      </w:rPr>
      <w:t>1</w:t>
    </w:r>
    <w:r>
      <w:rPr>
        <w:rStyle w:val="Nmerodepgina"/>
      </w:rPr>
      <w:fldChar w:fldCharType="end"/>
    </w:r>
  </w:p>
  <w:p w14:paraId="47E0F40D" w14:textId="77777777" w:rsidR="008948F5" w:rsidRDefault="00585077" w:rsidP="00460740">
    <w:pPr>
      <w:pStyle w:val="Rodap"/>
      <w:pBdr>
        <w:bottom w:val="single" w:sz="12" w:space="1" w:color="auto"/>
      </w:pBdr>
      <w:jc w:val="center"/>
      <w:rPr>
        <w:sz w:val="18"/>
        <w:szCs w:val="18"/>
      </w:rPr>
    </w:pPr>
  </w:p>
  <w:p w14:paraId="1BFF6D91" w14:textId="77777777" w:rsidR="00460740" w:rsidRPr="001F71BC" w:rsidRDefault="00557168" w:rsidP="00460740">
    <w:pPr>
      <w:pStyle w:val="Rodap"/>
      <w:jc w:val="center"/>
      <w:rPr>
        <w:sz w:val="18"/>
        <w:szCs w:val="18"/>
      </w:rPr>
    </w:pPr>
    <w:r w:rsidRPr="001F71BC">
      <w:rPr>
        <w:sz w:val="18"/>
        <w:szCs w:val="18"/>
      </w:rPr>
      <w:t>PREFEITURA MUNICIPAL DE PARANATINGA – Av. Brasil, 1900, centro, Paranatinga/MT – Fone: (66) 3573.1329</w:t>
    </w:r>
  </w:p>
  <w:p w14:paraId="311B1B29" w14:textId="77777777" w:rsidR="00986DDF" w:rsidRDefault="0058507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8A3BF" w14:textId="77777777" w:rsidR="00585077" w:rsidRDefault="00585077" w:rsidP="007F30DE">
      <w:r>
        <w:separator/>
      </w:r>
    </w:p>
  </w:footnote>
  <w:footnote w:type="continuationSeparator" w:id="0">
    <w:p w14:paraId="118DDC63" w14:textId="77777777" w:rsidR="00585077" w:rsidRDefault="00585077" w:rsidP="007F30DE">
      <w:r>
        <w:continuationSeparator/>
      </w:r>
    </w:p>
  </w:footnote>
  <w:footnote w:id="1">
    <w:p w14:paraId="47E66DCC" w14:textId="77777777" w:rsidR="0070522A" w:rsidRDefault="0070522A" w:rsidP="0070522A">
      <w:pPr>
        <w:jc w:val="both"/>
      </w:pPr>
      <w:r>
        <w:rPr>
          <w:rStyle w:val="Refdenotaderodap"/>
        </w:rPr>
        <w:footnoteRef/>
      </w:r>
      <w:r>
        <w:t xml:space="preserve"> </w:t>
      </w:r>
      <w:r>
        <w:rPr>
          <w:rFonts w:ascii="Calibri" w:hAnsi="Calibri"/>
        </w:rPr>
        <w:t xml:space="preserve">Com </w:t>
      </w:r>
      <w:r>
        <w:rPr>
          <w:rFonts w:ascii="Calibri" w:hAnsi="Calibri"/>
          <w:color w:val="000000"/>
        </w:rPr>
        <w:t xml:space="preserve"> efeitos aplicados a partir de 1º de janeiro de 2022.</w:t>
      </w:r>
    </w:p>
    <w:p w14:paraId="6E0F126F" w14:textId="77777777" w:rsidR="0070522A" w:rsidRDefault="0070522A" w:rsidP="0070522A">
      <w:pPr>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EE77" w14:textId="77777777" w:rsidR="008948F5" w:rsidRPr="009C7FF3" w:rsidRDefault="00585077" w:rsidP="008948F5">
    <w:pPr>
      <w:pStyle w:val="Cabealho"/>
      <w:ind w:firstLine="900"/>
      <w:rPr>
        <w:rFonts w:ascii="Arial Black" w:hAnsi="Arial Black"/>
      </w:rPr>
    </w:pPr>
    <w:r>
      <w:rPr>
        <w:noProof/>
      </w:rPr>
      <w:object w:dxaOrig="1440" w:dyaOrig="1440" w14:anchorId="13077D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0;margin-top:-.55pt;width:34.9pt;height:45pt;z-index:251659264" fillcolor="window">
          <v:imagedata r:id="rId1" o:title=""/>
        </v:shape>
        <o:OLEObject Type="Embed" ProgID="PBrush" ShapeID="_x0000_s1025" DrawAspect="Content" ObjectID="_1715495524" r:id="rId2"/>
      </w:object>
    </w:r>
    <w:r w:rsidR="00557168" w:rsidRPr="009C7FF3">
      <w:rPr>
        <w:rFonts w:ascii="Arial Black" w:hAnsi="Arial Black"/>
      </w:rPr>
      <w:t>ESTADO DE MATO GROSSO</w:t>
    </w:r>
    <w:r w:rsidR="00557168" w:rsidRPr="009C7FF3">
      <w:rPr>
        <w:rFonts w:ascii="Arial Black" w:hAnsi="Arial Black"/>
      </w:rPr>
      <w:tab/>
    </w:r>
  </w:p>
  <w:p w14:paraId="32F9138A" w14:textId="77777777" w:rsidR="008948F5" w:rsidRDefault="00557168" w:rsidP="008948F5">
    <w:pPr>
      <w:pStyle w:val="Cabealho"/>
      <w:spacing w:after="20"/>
      <w:ind w:firstLine="900"/>
      <w:rPr>
        <w:rFonts w:ascii="Arial Black" w:hAnsi="Arial Black"/>
        <w:b/>
        <w:bCs/>
        <w:szCs w:val="28"/>
      </w:rPr>
    </w:pPr>
    <w:r w:rsidRPr="009C7FF3">
      <w:rPr>
        <w:rFonts w:ascii="Arial Black" w:hAnsi="Arial Black"/>
        <w:szCs w:val="28"/>
      </w:rPr>
      <w:t>PREFEITURA MUNICIPAL DE PARANATINGA</w:t>
    </w:r>
    <w:r>
      <w:rPr>
        <w:rFonts w:ascii="Arial Black" w:hAnsi="Arial Black"/>
        <w:szCs w:val="28"/>
      </w:rPr>
      <w:t xml:space="preserve"> – MT</w:t>
    </w:r>
  </w:p>
  <w:p w14:paraId="186F537A" w14:textId="77777777" w:rsidR="008948F5" w:rsidRDefault="00557168" w:rsidP="008948F5">
    <w:pPr>
      <w:pStyle w:val="Cabealho"/>
      <w:pBdr>
        <w:bottom w:val="single" w:sz="12" w:space="1" w:color="auto"/>
      </w:pBdr>
      <w:spacing w:after="20"/>
      <w:ind w:firstLine="900"/>
      <w:rPr>
        <w:rFonts w:ascii="Arial Black" w:hAnsi="Arial Black"/>
        <w:b/>
        <w:bCs/>
        <w:sz w:val="16"/>
        <w:szCs w:val="16"/>
      </w:rPr>
    </w:pPr>
    <w:r w:rsidRPr="009C7FF3">
      <w:rPr>
        <w:rFonts w:ascii="Arial Black" w:hAnsi="Arial Black"/>
        <w:sz w:val="16"/>
        <w:szCs w:val="16"/>
      </w:rPr>
      <w:t>CNPJ: 15.023.971/0001-24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21007"/>
    <w:multiLevelType w:val="singleLevel"/>
    <w:tmpl w:val="115AFFDC"/>
    <w:lvl w:ilvl="0">
      <w:start w:val="1"/>
      <w:numFmt w:val="lowerLetter"/>
      <w:lvlText w:val="%1)"/>
      <w:lvlJc w:val="left"/>
      <w:pPr>
        <w:tabs>
          <w:tab w:val="num" w:pos="3190"/>
        </w:tabs>
        <w:ind w:left="3190" w:hanging="360"/>
      </w:pPr>
      <w:rPr>
        <w:rFonts w:hint="default"/>
      </w:rPr>
    </w:lvl>
  </w:abstractNum>
  <w:abstractNum w:abstractNumId="1" w15:restartNumberingAfterBreak="0">
    <w:nsid w:val="378D671E"/>
    <w:multiLevelType w:val="singleLevel"/>
    <w:tmpl w:val="115AFFDC"/>
    <w:lvl w:ilvl="0">
      <w:start w:val="1"/>
      <w:numFmt w:val="lowerLetter"/>
      <w:lvlText w:val="%1)"/>
      <w:lvlJc w:val="left"/>
      <w:pPr>
        <w:tabs>
          <w:tab w:val="num" w:pos="3190"/>
        </w:tabs>
        <w:ind w:left="3190" w:hanging="360"/>
      </w:pPr>
      <w:rPr>
        <w:rFonts w:hint="default"/>
      </w:rPr>
    </w:lvl>
  </w:abstractNum>
  <w:abstractNum w:abstractNumId="2" w15:restartNumberingAfterBreak="0">
    <w:nsid w:val="46706B50"/>
    <w:multiLevelType w:val="singleLevel"/>
    <w:tmpl w:val="115AFFDC"/>
    <w:lvl w:ilvl="0">
      <w:start w:val="1"/>
      <w:numFmt w:val="lowerLetter"/>
      <w:lvlText w:val="%1)"/>
      <w:lvlJc w:val="left"/>
      <w:pPr>
        <w:tabs>
          <w:tab w:val="num" w:pos="3190"/>
        </w:tabs>
        <w:ind w:left="3190" w:hanging="360"/>
      </w:pPr>
      <w:rPr>
        <w:rFonts w:hint="default"/>
      </w:rPr>
    </w:lvl>
  </w:abstractNum>
  <w:abstractNum w:abstractNumId="3" w15:restartNumberingAfterBreak="0">
    <w:nsid w:val="521B2EDD"/>
    <w:multiLevelType w:val="singleLevel"/>
    <w:tmpl w:val="3B4C5460"/>
    <w:lvl w:ilvl="0">
      <w:start w:val="1"/>
      <w:numFmt w:val="lowerLetter"/>
      <w:lvlText w:val="%1)"/>
      <w:lvlJc w:val="left"/>
      <w:pPr>
        <w:tabs>
          <w:tab w:val="num" w:pos="3190"/>
        </w:tabs>
        <w:ind w:left="3190" w:hanging="360"/>
      </w:pPr>
      <w:rPr>
        <w:rFonts w:hint="default"/>
      </w:rPr>
    </w:lvl>
  </w:abstractNum>
  <w:abstractNum w:abstractNumId="4" w15:restartNumberingAfterBreak="0">
    <w:nsid w:val="5F9A59C2"/>
    <w:multiLevelType w:val="singleLevel"/>
    <w:tmpl w:val="3B4C5460"/>
    <w:lvl w:ilvl="0">
      <w:start w:val="1"/>
      <w:numFmt w:val="lowerLetter"/>
      <w:lvlText w:val="%1)"/>
      <w:lvlJc w:val="left"/>
      <w:pPr>
        <w:tabs>
          <w:tab w:val="num" w:pos="3190"/>
        </w:tabs>
        <w:ind w:left="3190" w:hanging="360"/>
      </w:pPr>
      <w:rPr>
        <w:rFonts w:hint="default"/>
      </w:rPr>
    </w:lvl>
  </w:abstractNum>
  <w:abstractNum w:abstractNumId="5" w15:restartNumberingAfterBreak="0">
    <w:nsid w:val="61456A93"/>
    <w:multiLevelType w:val="hybridMultilevel"/>
    <w:tmpl w:val="8CC277F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 w15:restartNumberingAfterBreak="0">
    <w:nsid w:val="71A75679"/>
    <w:multiLevelType w:val="singleLevel"/>
    <w:tmpl w:val="3B50C692"/>
    <w:lvl w:ilvl="0">
      <w:start w:val="1"/>
      <w:numFmt w:val="lowerLetter"/>
      <w:lvlText w:val="%1)"/>
      <w:lvlJc w:val="left"/>
      <w:pPr>
        <w:tabs>
          <w:tab w:val="num" w:pos="3190"/>
        </w:tabs>
        <w:ind w:left="3190" w:hanging="360"/>
      </w:pPr>
      <w:rPr>
        <w:rFonts w:hint="default"/>
      </w:rPr>
    </w:lvl>
  </w:abstractNum>
  <w:abstractNum w:abstractNumId="7" w15:restartNumberingAfterBreak="0">
    <w:nsid w:val="7D882C34"/>
    <w:multiLevelType w:val="hybridMultilevel"/>
    <w:tmpl w:val="F4CA6D54"/>
    <w:lvl w:ilvl="0" w:tplc="6A662904">
      <w:start w:val="1"/>
      <w:numFmt w:val="upp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num w:numId="1" w16cid:durableId="109515246">
    <w:abstractNumId w:val="5"/>
  </w:num>
  <w:num w:numId="2" w16cid:durableId="776801572">
    <w:abstractNumId w:val="7"/>
  </w:num>
  <w:num w:numId="3" w16cid:durableId="291138487">
    <w:abstractNumId w:val="6"/>
  </w:num>
  <w:num w:numId="4" w16cid:durableId="951589405">
    <w:abstractNumId w:val="4"/>
  </w:num>
  <w:num w:numId="5" w16cid:durableId="2112818112">
    <w:abstractNumId w:val="0"/>
  </w:num>
  <w:num w:numId="6" w16cid:durableId="1078750691">
    <w:abstractNumId w:val="3"/>
  </w:num>
  <w:num w:numId="7" w16cid:durableId="1591885915">
    <w:abstractNumId w:val="2"/>
  </w:num>
  <w:num w:numId="8" w16cid:durableId="702249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F89"/>
    <w:rsid w:val="00026FAB"/>
    <w:rsid w:val="000748F6"/>
    <w:rsid w:val="000C0278"/>
    <w:rsid w:val="00150777"/>
    <w:rsid w:val="001C4704"/>
    <w:rsid w:val="00204835"/>
    <w:rsid w:val="0024595B"/>
    <w:rsid w:val="002602A7"/>
    <w:rsid w:val="003129BB"/>
    <w:rsid w:val="003414F8"/>
    <w:rsid w:val="00557168"/>
    <w:rsid w:val="00585077"/>
    <w:rsid w:val="005B7A35"/>
    <w:rsid w:val="0070522A"/>
    <w:rsid w:val="007F30DE"/>
    <w:rsid w:val="00812B43"/>
    <w:rsid w:val="00831139"/>
    <w:rsid w:val="00971276"/>
    <w:rsid w:val="00A13332"/>
    <w:rsid w:val="00A74FB4"/>
    <w:rsid w:val="00A87F89"/>
    <w:rsid w:val="00AC0ACD"/>
    <w:rsid w:val="00B4505A"/>
    <w:rsid w:val="00BF7E33"/>
    <w:rsid w:val="00C92F7A"/>
    <w:rsid w:val="00CB0AB3"/>
    <w:rsid w:val="00CF2A87"/>
    <w:rsid w:val="00D14D5A"/>
    <w:rsid w:val="00D46176"/>
    <w:rsid w:val="00E00FA6"/>
    <w:rsid w:val="00E21B48"/>
    <w:rsid w:val="00EA0459"/>
    <w:rsid w:val="00EE5476"/>
    <w:rsid w:val="00EF74D5"/>
    <w:rsid w:val="00FF59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7EA74"/>
  <w15:chartTrackingRefBased/>
  <w15:docId w15:val="{96CA97C8-AA4C-4EDF-8431-FAED976E7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F89"/>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20483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8">
    <w:name w:val="heading 8"/>
    <w:basedOn w:val="Normal"/>
    <w:next w:val="Normal"/>
    <w:link w:val="Ttulo8Char"/>
    <w:qFormat/>
    <w:rsid w:val="00A87F89"/>
    <w:pPr>
      <w:keepNext/>
      <w:autoSpaceDE w:val="0"/>
      <w:autoSpaceDN w:val="0"/>
      <w:ind w:firstLine="3402"/>
      <w:jc w:val="both"/>
      <w:outlineLvl w:val="7"/>
    </w:pPr>
    <w:rPr>
      <w:rFonts w:ascii="Arial" w:hAnsi="Arial" w:cs="Arial"/>
      <w:color w:val="FF0000"/>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A87F89"/>
    <w:rPr>
      <w:rFonts w:ascii="Arial" w:eastAsia="Times New Roman" w:hAnsi="Arial" w:cs="Arial"/>
      <w:color w:val="FF0000"/>
      <w:sz w:val="26"/>
      <w:szCs w:val="26"/>
      <w:lang w:eastAsia="pt-BR"/>
    </w:rPr>
  </w:style>
  <w:style w:type="paragraph" w:styleId="Cabealho">
    <w:name w:val="header"/>
    <w:basedOn w:val="Normal"/>
    <w:link w:val="CabealhoChar"/>
    <w:uiPriority w:val="99"/>
    <w:rsid w:val="00A87F89"/>
    <w:pPr>
      <w:tabs>
        <w:tab w:val="center" w:pos="4252"/>
        <w:tab w:val="right" w:pos="8504"/>
      </w:tabs>
    </w:pPr>
  </w:style>
  <w:style w:type="character" w:customStyle="1" w:styleId="CabealhoChar">
    <w:name w:val="Cabeçalho Char"/>
    <w:basedOn w:val="Fontepargpadro"/>
    <w:link w:val="Cabealho"/>
    <w:uiPriority w:val="99"/>
    <w:rsid w:val="00A87F89"/>
    <w:rPr>
      <w:rFonts w:ascii="Times New Roman" w:eastAsia="Times New Roman" w:hAnsi="Times New Roman" w:cs="Times New Roman"/>
      <w:sz w:val="24"/>
      <w:szCs w:val="24"/>
      <w:lang w:eastAsia="pt-BR"/>
    </w:rPr>
  </w:style>
  <w:style w:type="paragraph" w:styleId="Rodap">
    <w:name w:val="footer"/>
    <w:basedOn w:val="Normal"/>
    <w:link w:val="RodapChar"/>
    <w:rsid w:val="00A87F89"/>
    <w:pPr>
      <w:tabs>
        <w:tab w:val="center" w:pos="4252"/>
        <w:tab w:val="right" w:pos="8504"/>
      </w:tabs>
    </w:pPr>
  </w:style>
  <w:style w:type="character" w:customStyle="1" w:styleId="RodapChar">
    <w:name w:val="Rodapé Char"/>
    <w:basedOn w:val="Fontepargpadro"/>
    <w:link w:val="Rodap"/>
    <w:rsid w:val="00A87F89"/>
    <w:rPr>
      <w:rFonts w:ascii="Times New Roman" w:eastAsia="Times New Roman" w:hAnsi="Times New Roman" w:cs="Times New Roman"/>
      <w:sz w:val="24"/>
      <w:szCs w:val="24"/>
      <w:lang w:eastAsia="pt-BR"/>
    </w:rPr>
  </w:style>
  <w:style w:type="character" w:styleId="Nmerodepgina">
    <w:name w:val="page number"/>
    <w:basedOn w:val="Fontepargpadro"/>
    <w:rsid w:val="00A87F89"/>
  </w:style>
  <w:style w:type="paragraph" w:styleId="Ttulo">
    <w:name w:val="Title"/>
    <w:basedOn w:val="Normal"/>
    <w:link w:val="TtuloChar"/>
    <w:qFormat/>
    <w:rsid w:val="00A87F89"/>
    <w:pPr>
      <w:tabs>
        <w:tab w:val="left" w:pos="851"/>
        <w:tab w:val="left" w:pos="1701"/>
        <w:tab w:val="left" w:pos="2552"/>
      </w:tabs>
      <w:autoSpaceDE w:val="0"/>
      <w:autoSpaceDN w:val="0"/>
      <w:jc w:val="center"/>
    </w:pPr>
    <w:rPr>
      <w:b/>
      <w:bCs/>
      <w:sz w:val="28"/>
      <w:szCs w:val="28"/>
    </w:rPr>
  </w:style>
  <w:style w:type="character" w:customStyle="1" w:styleId="TtuloChar">
    <w:name w:val="Título Char"/>
    <w:basedOn w:val="Fontepargpadro"/>
    <w:link w:val="Ttulo"/>
    <w:rsid w:val="00A87F89"/>
    <w:rPr>
      <w:rFonts w:ascii="Times New Roman" w:eastAsia="Times New Roman" w:hAnsi="Times New Roman" w:cs="Times New Roman"/>
      <w:b/>
      <w:bCs/>
      <w:sz w:val="28"/>
      <w:szCs w:val="28"/>
      <w:lang w:eastAsia="pt-BR"/>
    </w:rPr>
  </w:style>
  <w:style w:type="paragraph" w:styleId="Corpodetexto">
    <w:name w:val="Body Text"/>
    <w:basedOn w:val="Normal"/>
    <w:link w:val="CorpodetextoChar"/>
    <w:uiPriority w:val="1"/>
    <w:qFormat/>
    <w:rsid w:val="00A87F89"/>
    <w:pPr>
      <w:tabs>
        <w:tab w:val="left" w:pos="851"/>
        <w:tab w:val="left" w:pos="1134"/>
        <w:tab w:val="left" w:pos="1701"/>
        <w:tab w:val="left" w:pos="2552"/>
        <w:tab w:val="left" w:pos="2835"/>
        <w:tab w:val="left" w:pos="3686"/>
      </w:tabs>
      <w:autoSpaceDE w:val="0"/>
      <w:autoSpaceDN w:val="0"/>
      <w:jc w:val="both"/>
    </w:pPr>
    <w:rPr>
      <w:rFonts w:ascii="Arial" w:hAnsi="Arial" w:cs="Arial"/>
      <w:color w:val="000000"/>
      <w:sz w:val="22"/>
      <w:szCs w:val="22"/>
    </w:rPr>
  </w:style>
  <w:style w:type="character" w:customStyle="1" w:styleId="CorpodetextoChar">
    <w:name w:val="Corpo de texto Char"/>
    <w:basedOn w:val="Fontepargpadro"/>
    <w:link w:val="Corpodetexto"/>
    <w:uiPriority w:val="1"/>
    <w:rsid w:val="00A87F89"/>
    <w:rPr>
      <w:rFonts w:ascii="Arial" w:eastAsia="Times New Roman" w:hAnsi="Arial" w:cs="Arial"/>
      <w:color w:val="000000"/>
      <w:lang w:eastAsia="pt-BR"/>
    </w:rPr>
  </w:style>
  <w:style w:type="paragraph" w:styleId="Recuodecorpodetexto">
    <w:name w:val="Body Text Indent"/>
    <w:basedOn w:val="Normal"/>
    <w:link w:val="RecuodecorpodetextoChar"/>
    <w:uiPriority w:val="99"/>
    <w:unhideWhenUsed/>
    <w:rsid w:val="00A87F89"/>
    <w:pPr>
      <w:spacing w:after="120"/>
      <w:ind w:left="283"/>
    </w:pPr>
  </w:style>
  <w:style w:type="character" w:customStyle="1" w:styleId="RecuodecorpodetextoChar">
    <w:name w:val="Recuo de corpo de texto Char"/>
    <w:basedOn w:val="Fontepargpadro"/>
    <w:link w:val="Recuodecorpodetexto"/>
    <w:uiPriority w:val="99"/>
    <w:rsid w:val="00A87F89"/>
    <w:rPr>
      <w:rFonts w:ascii="Times New Roman" w:eastAsia="Times New Roman" w:hAnsi="Times New Roman" w:cs="Times New Roman"/>
      <w:sz w:val="24"/>
      <w:szCs w:val="24"/>
      <w:lang w:eastAsia="pt-BR"/>
    </w:rPr>
  </w:style>
  <w:style w:type="paragraph" w:styleId="SemEspaamento">
    <w:name w:val="No Spacing"/>
    <w:uiPriority w:val="1"/>
    <w:qFormat/>
    <w:rsid w:val="00A87F89"/>
    <w:pPr>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026FAB"/>
    <w:rPr>
      <w:rFonts w:ascii="Segoe UI" w:hAnsi="Segoe UI" w:cs="Segoe UI"/>
      <w:sz w:val="18"/>
      <w:szCs w:val="18"/>
    </w:rPr>
  </w:style>
  <w:style w:type="character" w:customStyle="1" w:styleId="TextodebaloChar">
    <w:name w:val="Texto de balão Char"/>
    <w:basedOn w:val="Fontepargpadro"/>
    <w:link w:val="Textodebalo"/>
    <w:uiPriority w:val="99"/>
    <w:semiHidden/>
    <w:rsid w:val="00026FAB"/>
    <w:rPr>
      <w:rFonts w:ascii="Segoe UI" w:eastAsia="Times New Roman" w:hAnsi="Segoe UI" w:cs="Segoe UI"/>
      <w:sz w:val="18"/>
      <w:szCs w:val="18"/>
      <w:lang w:eastAsia="pt-BR"/>
    </w:rPr>
  </w:style>
  <w:style w:type="character" w:customStyle="1" w:styleId="Ttulo1Char">
    <w:name w:val="Título 1 Char"/>
    <w:basedOn w:val="Fontepargpadro"/>
    <w:link w:val="Ttulo1"/>
    <w:uiPriority w:val="9"/>
    <w:rsid w:val="00204835"/>
    <w:rPr>
      <w:rFonts w:asciiTheme="majorHAnsi" w:eastAsiaTheme="majorEastAsia" w:hAnsiTheme="majorHAnsi" w:cstheme="majorBidi"/>
      <w:color w:val="2E74B5" w:themeColor="accent1" w:themeShade="BF"/>
      <w:sz w:val="32"/>
      <w:szCs w:val="32"/>
      <w:lang w:eastAsia="pt-BR"/>
    </w:rPr>
  </w:style>
  <w:style w:type="paragraph" w:styleId="Corpodetexto2">
    <w:name w:val="Body Text 2"/>
    <w:basedOn w:val="Normal"/>
    <w:link w:val="Corpodetexto2Char"/>
    <w:uiPriority w:val="99"/>
    <w:semiHidden/>
    <w:unhideWhenUsed/>
    <w:rsid w:val="00204835"/>
    <w:pPr>
      <w:spacing w:after="120" w:line="480" w:lineRule="auto"/>
    </w:pPr>
  </w:style>
  <w:style w:type="character" w:customStyle="1" w:styleId="Corpodetexto2Char">
    <w:name w:val="Corpo de texto 2 Char"/>
    <w:basedOn w:val="Fontepargpadro"/>
    <w:link w:val="Corpodetexto2"/>
    <w:uiPriority w:val="99"/>
    <w:semiHidden/>
    <w:rsid w:val="00204835"/>
    <w:rPr>
      <w:rFonts w:ascii="Times New Roman" w:eastAsia="Times New Roman" w:hAnsi="Times New Roman" w:cs="Times New Roman"/>
      <w:sz w:val="24"/>
      <w:szCs w:val="24"/>
      <w:lang w:eastAsia="pt-BR"/>
    </w:rPr>
  </w:style>
  <w:style w:type="character" w:styleId="Hyperlink">
    <w:name w:val="Hyperlink"/>
    <w:uiPriority w:val="99"/>
    <w:rsid w:val="00204835"/>
    <w:rPr>
      <w:color w:val="0000FF"/>
      <w:u w:val="single"/>
    </w:rPr>
  </w:style>
  <w:style w:type="character" w:styleId="nfase">
    <w:name w:val="Emphasis"/>
    <w:basedOn w:val="Fontepargpadro"/>
    <w:uiPriority w:val="20"/>
    <w:qFormat/>
    <w:rsid w:val="00204835"/>
    <w:rPr>
      <w:i/>
      <w:iCs/>
    </w:rPr>
  </w:style>
  <w:style w:type="paragraph" w:customStyle="1" w:styleId="WW-Recuodecorpodetexto3">
    <w:name w:val="WW-Recuo de corpo de texto 3"/>
    <w:basedOn w:val="Normal"/>
    <w:rsid w:val="00204835"/>
    <w:pPr>
      <w:widowControl w:val="0"/>
      <w:suppressAutoHyphens/>
      <w:ind w:firstLine="1134"/>
      <w:jc w:val="both"/>
    </w:pPr>
    <w:rPr>
      <w:rFonts w:ascii="Thorndale" w:eastAsia="HG Mincho Light J" w:hAnsi="Thorndale"/>
      <w:color w:val="000000"/>
      <w:szCs w:val="20"/>
      <w:lang w:val="pt-PT"/>
    </w:rPr>
  </w:style>
  <w:style w:type="paragraph" w:styleId="PargrafodaLista">
    <w:name w:val="List Paragraph"/>
    <w:basedOn w:val="Normal"/>
    <w:uiPriority w:val="1"/>
    <w:qFormat/>
    <w:rsid w:val="00204835"/>
    <w:pPr>
      <w:ind w:left="708"/>
    </w:pPr>
  </w:style>
  <w:style w:type="character" w:styleId="TextodoEspaoReservado">
    <w:name w:val="Placeholder Text"/>
    <w:basedOn w:val="Fontepargpadro"/>
    <w:uiPriority w:val="99"/>
    <w:semiHidden/>
    <w:rsid w:val="00204835"/>
    <w:rPr>
      <w:color w:val="808080"/>
    </w:rPr>
  </w:style>
  <w:style w:type="table" w:customStyle="1" w:styleId="TableNormal">
    <w:name w:val="Table Normal"/>
    <w:uiPriority w:val="2"/>
    <w:semiHidden/>
    <w:unhideWhenUsed/>
    <w:qFormat/>
    <w:rsid w:val="002048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4835"/>
    <w:pPr>
      <w:widowControl w:val="0"/>
      <w:autoSpaceDE w:val="0"/>
      <w:autoSpaceDN w:val="0"/>
      <w:spacing w:before="25"/>
      <w:jc w:val="right"/>
    </w:pPr>
    <w:rPr>
      <w:sz w:val="22"/>
      <w:szCs w:val="22"/>
      <w:lang w:val="pt-PT" w:eastAsia="en-US"/>
    </w:rPr>
  </w:style>
  <w:style w:type="paragraph" w:customStyle="1" w:styleId="Default">
    <w:name w:val="Default"/>
    <w:rsid w:val="00204835"/>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20483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ciso">
    <w:name w:val="Inciso"/>
    <w:basedOn w:val="Normal"/>
    <w:rsid w:val="00204835"/>
    <w:pPr>
      <w:autoSpaceDE w:val="0"/>
      <w:autoSpaceDN w:val="0"/>
      <w:spacing w:after="60"/>
      <w:ind w:firstLine="1134"/>
      <w:jc w:val="both"/>
    </w:pPr>
    <w:rPr>
      <w:rFonts w:ascii="Arial" w:hAnsi="Arial" w:cs="Arial"/>
      <w:sz w:val="20"/>
    </w:rPr>
  </w:style>
  <w:style w:type="character" w:styleId="Refdenotaderodap">
    <w:name w:val="footnote reference"/>
    <w:semiHidden/>
    <w:unhideWhenUsed/>
    <w:rsid w:val="002048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71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1338</Words>
  <Characters>7228</Characters>
  <Application>Microsoft Office Word</Application>
  <DocSecurity>0</DocSecurity>
  <Lines>60</Lines>
  <Paragraphs>17</Paragraphs>
  <ScaleCrop>false</ScaleCrop>
  <HeadingPairs>
    <vt:vector size="4" baseType="variant">
      <vt:variant>
        <vt:lpstr>Título</vt:lpstr>
      </vt:variant>
      <vt:variant>
        <vt:i4>1</vt:i4>
      </vt:variant>
      <vt:variant>
        <vt:lpstr>Títulos</vt:lpstr>
      </vt:variant>
      <vt:variant>
        <vt:i4>15</vt:i4>
      </vt:variant>
    </vt:vector>
  </HeadingPairs>
  <TitlesOfParts>
    <vt:vector size="16" baseType="lpstr">
      <vt:lpstr/>
      <vt:lpstr>LEI DE DIRETRIZES ORÇAMENTÁRIAS 2022</vt:lpstr>
      <vt:lpstr/>
      <vt:lpstr>ANEXO II</vt:lpstr>
      <vt:lpstr/>
      <vt:lpstr>METAS FISCAIS</vt:lpstr>
      <vt:lpstr/>
      <vt:lpstr>I – Metodologia e Memória de Cálculo das Metas Anuais para as Receitas e Despesa</vt:lpstr>
      <vt:lpstr>RECEITAS</vt:lpstr>
      <vt:lpstr>/</vt:lpstr>
      <vt:lpstr>I.I – Metodologia e Memória de Cálculo das Receitas </vt:lpstr>
      <vt:lpstr/>
      <vt:lpstr>LEI DE DIRETRIZES ORÇAMENTÁRIAS 2022</vt:lpstr>
      <vt:lpstr/>
      <vt:lpstr>ANEXO II</vt: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rodrigo luiz</cp:lastModifiedBy>
  <cp:revision>3</cp:revision>
  <cp:lastPrinted>2018-08-16T13:46:00Z</cp:lastPrinted>
  <dcterms:created xsi:type="dcterms:W3CDTF">2022-05-28T15:30:00Z</dcterms:created>
  <dcterms:modified xsi:type="dcterms:W3CDTF">2022-05-31T13:46:00Z</dcterms:modified>
</cp:coreProperties>
</file>